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42FB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bookmarkStart w:id="0" w:name="_GoBack"/>
      <w:bookmarkEnd w:id="0"/>
    </w:p>
    <w:p w14:paraId="043BF9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0E423C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740872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7B2CC0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0B60BF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both"/>
        <w:textAlignment w:val="auto"/>
        <w:rPr>
          <w:color w:val="000000"/>
          <w:sz w:val="44"/>
          <w:szCs w:val="44"/>
        </w:rPr>
      </w:pPr>
    </w:p>
    <w:p w14:paraId="53E76B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r>
        <w:rPr>
          <w:color w:val="000000"/>
          <w:sz w:val="44"/>
          <w:szCs w:val="44"/>
        </w:rPr>
        <w:t>霍城县城市消防专项规划（2026—</w:t>
      </w:r>
      <w:r>
        <w:rPr>
          <w:rFonts w:hint="eastAsia"/>
          <w:color w:val="000000"/>
          <w:sz w:val="44"/>
          <w:szCs w:val="44"/>
          <w:lang w:eastAsia="zh-CN"/>
        </w:rPr>
        <w:t>2035</w:t>
      </w:r>
      <w:r>
        <w:rPr>
          <w:color w:val="000000"/>
          <w:sz w:val="44"/>
          <w:szCs w:val="44"/>
        </w:rPr>
        <w:t xml:space="preserve"> 年）</w:t>
      </w:r>
      <w:r>
        <w:rPr>
          <w:rFonts w:hint="eastAsia"/>
          <w:color w:val="000000"/>
          <w:sz w:val="44"/>
          <w:szCs w:val="44"/>
          <w:lang w:val="en-US" w:eastAsia="zh-CN"/>
        </w:rPr>
        <w:t xml:space="preserve"> </w:t>
      </w:r>
    </w:p>
    <w:p w14:paraId="0449CDF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42CD6E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4EA6E63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52201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189A17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40B968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58B4008F">
      <w:pPr>
        <w:rPr>
          <w:color w:val="000000"/>
          <w:sz w:val="44"/>
          <w:szCs w:val="44"/>
        </w:rPr>
      </w:pPr>
    </w:p>
    <w:p w14:paraId="1DB232F5">
      <w:pPr>
        <w:rPr>
          <w:rFonts w:hint="eastAsia" w:eastAsia="宋体"/>
          <w:color w:val="000000"/>
          <w:sz w:val="44"/>
          <w:szCs w:val="44"/>
          <w:lang w:eastAsia="zh-CN"/>
        </w:rPr>
      </w:pPr>
    </w:p>
    <w:p w14:paraId="5981AD10">
      <w:pPr>
        <w:rPr>
          <w:rFonts w:hint="eastAsia" w:eastAsia="宋体"/>
          <w:color w:val="000000"/>
          <w:sz w:val="44"/>
          <w:szCs w:val="44"/>
          <w:lang w:eastAsia="zh-CN"/>
        </w:rPr>
      </w:pPr>
    </w:p>
    <w:p w14:paraId="12D775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目 录</w:t>
      </w:r>
    </w:p>
    <w:p w14:paraId="544643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rPr>
        <w:t>第一章 总 则.........................................................................</w:t>
      </w:r>
      <w:r>
        <w:rPr>
          <w:rFonts w:hint="eastAsia" w:ascii="方正仿宋_GBK" w:hAnsi="方正仿宋_GBK" w:eastAsia="方正仿宋_GBK" w:cs="方正仿宋_GBK"/>
          <w:color w:val="000000"/>
          <w:sz w:val="28"/>
          <w:szCs w:val="28"/>
          <w:lang w:val="en-US" w:eastAsia="zh-CN"/>
        </w:rPr>
        <w:t>3</w:t>
      </w:r>
    </w:p>
    <w:p w14:paraId="36F4E8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第二章 城市火灾风险评估......................................................</w:t>
      </w:r>
      <w:r>
        <w:rPr>
          <w:rFonts w:hint="eastAsia" w:ascii="方正仿宋_GBK" w:hAnsi="方正仿宋_GBK" w:eastAsia="方正仿宋_GBK" w:cs="方正仿宋_GBK"/>
          <w:color w:val="000000"/>
          <w:sz w:val="28"/>
          <w:szCs w:val="28"/>
          <w:lang w:val="en-US" w:eastAsia="zh-CN"/>
        </w:rPr>
        <w:t>1</w:t>
      </w:r>
      <w:r>
        <w:rPr>
          <w:rFonts w:hint="eastAsia" w:ascii="方正仿宋_GBK" w:hAnsi="方正仿宋_GBK" w:eastAsia="方正仿宋_GBK" w:cs="方正仿宋_GBK"/>
          <w:color w:val="000000"/>
          <w:sz w:val="28"/>
          <w:szCs w:val="28"/>
        </w:rPr>
        <w:t>2</w:t>
      </w:r>
    </w:p>
    <w:p w14:paraId="38D38F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rPr>
        <w:t>第三章 消防安全布局............................................................</w:t>
      </w:r>
      <w:r>
        <w:rPr>
          <w:rFonts w:hint="eastAsia" w:ascii="方正仿宋_GBK" w:hAnsi="方正仿宋_GBK" w:eastAsia="方正仿宋_GBK" w:cs="方正仿宋_GBK"/>
          <w:color w:val="000000"/>
          <w:sz w:val="28"/>
          <w:szCs w:val="28"/>
          <w:lang w:val="en-US" w:eastAsia="zh-CN"/>
        </w:rPr>
        <w:t>16</w:t>
      </w:r>
    </w:p>
    <w:p w14:paraId="20ABEB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rPr>
        <w:t>第四章 消防站及消防装备规划...............................................</w:t>
      </w:r>
      <w:r>
        <w:rPr>
          <w:rFonts w:hint="eastAsia" w:ascii="方正仿宋_GBK" w:hAnsi="方正仿宋_GBK" w:eastAsia="方正仿宋_GBK" w:cs="方正仿宋_GBK"/>
          <w:color w:val="000000"/>
          <w:sz w:val="28"/>
          <w:szCs w:val="28"/>
          <w:lang w:val="en-US" w:eastAsia="zh-CN"/>
        </w:rPr>
        <w:t>23</w:t>
      </w:r>
    </w:p>
    <w:p w14:paraId="61C71AE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rPr>
        <w:t>第五章 消防给水规划............................................................</w:t>
      </w:r>
      <w:r>
        <w:rPr>
          <w:rFonts w:hint="eastAsia" w:ascii="方正仿宋_GBK" w:hAnsi="方正仿宋_GBK" w:eastAsia="方正仿宋_GBK" w:cs="方正仿宋_GBK"/>
          <w:color w:val="000000"/>
          <w:sz w:val="28"/>
          <w:szCs w:val="28"/>
          <w:lang w:val="en-US" w:eastAsia="zh-CN"/>
        </w:rPr>
        <w:t>27</w:t>
      </w:r>
    </w:p>
    <w:p w14:paraId="62475F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rPr>
        <w:t>第</w:t>
      </w:r>
      <w:r>
        <w:rPr>
          <w:rFonts w:hint="eastAsia" w:ascii="方正仿宋_GBK" w:hAnsi="方正仿宋_GBK" w:eastAsia="方正仿宋_GBK" w:cs="方正仿宋_GBK"/>
          <w:color w:val="000000"/>
          <w:sz w:val="28"/>
          <w:szCs w:val="28"/>
          <w:lang w:eastAsia="zh-CN"/>
        </w:rPr>
        <w:t>六</w:t>
      </w:r>
      <w:r>
        <w:rPr>
          <w:rFonts w:hint="eastAsia" w:ascii="方正仿宋_GBK" w:hAnsi="方正仿宋_GBK" w:eastAsia="方正仿宋_GBK" w:cs="方正仿宋_GBK"/>
          <w:color w:val="000000"/>
          <w:sz w:val="28"/>
          <w:szCs w:val="28"/>
        </w:rPr>
        <w:t>章 消防供电</w:t>
      </w:r>
      <w:r>
        <w:rPr>
          <w:rFonts w:hint="eastAsia" w:ascii="方正仿宋_GBK" w:hAnsi="方正仿宋_GBK" w:eastAsia="方正仿宋_GBK" w:cs="方正仿宋_GBK"/>
          <w:color w:val="000000"/>
          <w:sz w:val="28"/>
          <w:szCs w:val="28"/>
          <w:lang w:eastAsia="zh-CN"/>
        </w:rPr>
        <w:t>与</w:t>
      </w:r>
      <w:r>
        <w:rPr>
          <w:rFonts w:hint="eastAsia" w:ascii="方正仿宋_GBK" w:hAnsi="方正仿宋_GBK" w:eastAsia="方正仿宋_GBK" w:cs="方正仿宋_GBK"/>
          <w:color w:val="000000"/>
          <w:sz w:val="28"/>
          <w:szCs w:val="28"/>
        </w:rPr>
        <w:t>通信规划..................................................</w:t>
      </w:r>
      <w:r>
        <w:rPr>
          <w:rFonts w:hint="eastAsia" w:ascii="方正仿宋_GBK" w:hAnsi="方正仿宋_GBK" w:eastAsia="方正仿宋_GBK" w:cs="方正仿宋_GBK"/>
          <w:color w:val="000000"/>
          <w:sz w:val="28"/>
          <w:szCs w:val="28"/>
          <w:lang w:val="en-US" w:eastAsia="zh-CN"/>
        </w:rPr>
        <w:t>33</w:t>
      </w:r>
    </w:p>
    <w:p w14:paraId="22AD93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第七章 消防疏散与避难场所规划</w:t>
      </w:r>
      <w:r>
        <w:rPr>
          <w:rFonts w:hint="eastAsia" w:ascii="方正仿宋_GBK" w:hAnsi="方正仿宋_GBK" w:eastAsia="方正仿宋_GBK" w:cs="方正仿宋_GBK"/>
          <w:color w:val="000000"/>
          <w:sz w:val="28"/>
          <w:szCs w:val="28"/>
        </w:rPr>
        <w:t>...........................................</w:t>
      </w:r>
      <w:r>
        <w:rPr>
          <w:rFonts w:hint="eastAsia" w:ascii="方正仿宋_GBK" w:hAnsi="方正仿宋_GBK" w:eastAsia="方正仿宋_GBK" w:cs="方正仿宋_GBK"/>
          <w:color w:val="000000"/>
          <w:sz w:val="28"/>
          <w:szCs w:val="28"/>
          <w:lang w:val="en-US" w:eastAsia="zh-CN"/>
        </w:rPr>
        <w:t>36</w:t>
      </w:r>
    </w:p>
    <w:p w14:paraId="522058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第八章 消防与抗震、人防规划协调</w:t>
      </w:r>
      <w:r>
        <w:rPr>
          <w:rFonts w:hint="eastAsia" w:ascii="方正仿宋_GBK" w:hAnsi="方正仿宋_GBK" w:eastAsia="方正仿宋_GBK" w:cs="方正仿宋_GBK"/>
          <w:color w:val="000000"/>
          <w:sz w:val="28"/>
          <w:szCs w:val="28"/>
        </w:rPr>
        <w:t>........................................</w:t>
      </w:r>
      <w:r>
        <w:rPr>
          <w:rFonts w:hint="eastAsia" w:ascii="方正仿宋_GBK" w:hAnsi="方正仿宋_GBK" w:eastAsia="方正仿宋_GBK" w:cs="方正仿宋_GBK"/>
          <w:color w:val="000000"/>
          <w:sz w:val="28"/>
          <w:szCs w:val="28"/>
          <w:lang w:val="en-US" w:eastAsia="zh-CN"/>
        </w:rPr>
        <w:t>39</w:t>
      </w:r>
    </w:p>
    <w:p w14:paraId="73C8856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第九章 近期建设规划及投资估算</w:t>
      </w:r>
      <w:r>
        <w:rPr>
          <w:rFonts w:hint="eastAsia" w:ascii="方正仿宋_GBK" w:hAnsi="方正仿宋_GBK" w:eastAsia="方正仿宋_GBK" w:cs="方正仿宋_GBK"/>
          <w:color w:val="000000"/>
          <w:sz w:val="28"/>
          <w:szCs w:val="28"/>
        </w:rPr>
        <w:t>...........................................</w:t>
      </w:r>
      <w:r>
        <w:rPr>
          <w:rFonts w:hint="eastAsia" w:ascii="方正仿宋_GBK" w:hAnsi="方正仿宋_GBK" w:eastAsia="方正仿宋_GBK" w:cs="方正仿宋_GBK"/>
          <w:color w:val="000000"/>
          <w:sz w:val="28"/>
          <w:szCs w:val="28"/>
          <w:lang w:val="en-US" w:eastAsia="zh-CN"/>
        </w:rPr>
        <w:t>42</w:t>
      </w:r>
    </w:p>
    <w:p w14:paraId="5AC303E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第十章 远期建设规划及投资估...............................................46</w:t>
      </w:r>
    </w:p>
    <w:p w14:paraId="0E6871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第十一章 规划实施措施.........................................................49</w:t>
      </w:r>
    </w:p>
    <w:p w14:paraId="527BF9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left"/>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第十二章 附 则............................................................</w:t>
      </w:r>
      <w:r>
        <w:rPr>
          <w:rFonts w:hint="eastAsia" w:ascii="方正仿宋_GBK" w:hAnsi="方正仿宋_GBK" w:eastAsia="方正仿宋_GBK" w:cs="方正仿宋_GBK"/>
          <w:color w:val="000000"/>
          <w:sz w:val="28"/>
          <w:szCs w:val="28"/>
        </w:rPr>
        <w:t>........</w:t>
      </w:r>
      <w:r>
        <w:rPr>
          <w:rFonts w:hint="eastAsia" w:ascii="方正仿宋_GBK" w:hAnsi="方正仿宋_GBK" w:eastAsia="方正仿宋_GBK" w:cs="方正仿宋_GBK"/>
          <w:color w:val="000000"/>
          <w:sz w:val="28"/>
          <w:szCs w:val="28"/>
          <w:lang w:val="en-US" w:eastAsia="zh-CN"/>
        </w:rPr>
        <w:t>.52</w:t>
      </w:r>
    </w:p>
    <w:p w14:paraId="4F91F6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24B56D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0EA25F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color w:val="000000"/>
          <w:sz w:val="44"/>
          <w:szCs w:val="44"/>
        </w:rPr>
      </w:pPr>
    </w:p>
    <w:p w14:paraId="04AA557F">
      <w:pPr>
        <w:rPr>
          <w:color w:val="000000"/>
          <w:sz w:val="44"/>
          <w:szCs w:val="44"/>
        </w:rPr>
      </w:pPr>
    </w:p>
    <w:p w14:paraId="71F131BE">
      <w:pPr>
        <w:rPr>
          <w:color w:val="000000"/>
          <w:sz w:val="44"/>
          <w:szCs w:val="44"/>
        </w:rPr>
      </w:pPr>
    </w:p>
    <w:p w14:paraId="7A5A79C5">
      <w:pPr>
        <w:rPr>
          <w:color w:val="000000"/>
          <w:sz w:val="44"/>
          <w:szCs w:val="44"/>
        </w:rPr>
      </w:pPr>
    </w:p>
    <w:p w14:paraId="3E6C4328">
      <w:pPr>
        <w:rPr>
          <w:color w:val="000000"/>
          <w:sz w:val="44"/>
          <w:szCs w:val="44"/>
        </w:rPr>
      </w:pPr>
    </w:p>
    <w:p w14:paraId="52F83A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both"/>
        <w:textAlignment w:val="auto"/>
        <w:rPr>
          <w:color w:val="000000"/>
          <w:sz w:val="32"/>
          <w:szCs w:val="32"/>
        </w:rPr>
      </w:pPr>
      <w:r>
        <w:rPr>
          <w:rFonts w:hint="eastAsia"/>
          <w:color w:val="000000"/>
          <w:sz w:val="44"/>
          <w:szCs w:val="44"/>
          <w:lang w:val="en-US" w:eastAsia="zh-CN"/>
        </w:rPr>
        <w:t xml:space="preserve">                                                                                       </w:t>
      </w:r>
    </w:p>
    <w:p w14:paraId="3C4A99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第一章 总则</w:t>
      </w:r>
    </w:p>
    <w:p w14:paraId="575C7A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rPr>
        <w:t>一、规划依据</w:t>
      </w:r>
    </w:p>
    <w:p w14:paraId="579255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《中华人民共和国城乡规划法》（2019 年修订）；</w:t>
      </w:r>
    </w:p>
    <w:p w14:paraId="2FCD2EE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《中华人民共和国消防法》（2021年修订）及实施细则；</w:t>
      </w:r>
    </w:p>
    <w:p w14:paraId="3F5BB5D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《城市消防</w:t>
      </w:r>
      <w:r>
        <w:rPr>
          <w:rFonts w:hint="eastAsia" w:ascii="方正仿宋_GBK" w:hAnsi="方正仿宋_GBK" w:eastAsia="方正仿宋_GBK" w:cs="方正仿宋_GBK"/>
          <w:color w:val="000000"/>
          <w:sz w:val="32"/>
          <w:szCs w:val="32"/>
          <w:lang w:eastAsia="zh-CN"/>
        </w:rPr>
        <w:t>站设计规范</w:t>
      </w:r>
      <w:r>
        <w:rPr>
          <w:rFonts w:hint="eastAsia" w:ascii="方正仿宋_GBK" w:hAnsi="方正仿宋_GBK" w:eastAsia="方正仿宋_GBK" w:cs="方正仿宋_GBK"/>
          <w:color w:val="000000"/>
          <w:sz w:val="32"/>
          <w:szCs w:val="32"/>
        </w:rPr>
        <w:t>》（GB510</w:t>
      </w:r>
      <w:r>
        <w:rPr>
          <w:rFonts w:hint="eastAsia" w:ascii="方正仿宋_GBK" w:hAnsi="方正仿宋_GBK" w:eastAsia="方正仿宋_GBK" w:cs="方正仿宋_GBK"/>
          <w:color w:val="000000"/>
          <w:sz w:val="32"/>
          <w:szCs w:val="32"/>
          <w:lang w:val="en-US" w:eastAsia="zh-CN"/>
        </w:rPr>
        <w:t>54</w:t>
      </w:r>
      <w:r>
        <w:rPr>
          <w:rFonts w:hint="eastAsia" w:ascii="方正仿宋_GBK" w:hAnsi="方正仿宋_GBK" w:eastAsia="方正仿宋_GBK" w:cs="方正仿宋_GBK"/>
          <w:color w:val="000000"/>
          <w:sz w:val="32"/>
          <w:szCs w:val="32"/>
        </w:rPr>
        <w:t>-201</w:t>
      </w: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w:t>
      </w:r>
    </w:p>
    <w:p w14:paraId="17D6245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《城市消防站建设标准》（建标 152-201</w:t>
      </w:r>
      <w:r>
        <w:rPr>
          <w:rFonts w:hint="eastAsia" w:ascii="方正仿宋_GBK" w:hAnsi="方正仿宋_GBK" w:eastAsia="方正仿宋_GBK" w:cs="方正仿宋_GBK"/>
          <w:color w:val="000000"/>
          <w:sz w:val="32"/>
          <w:szCs w:val="32"/>
          <w:lang w:val="en-US" w:eastAsia="zh-CN"/>
        </w:rPr>
        <w:t>7</w:t>
      </w:r>
      <w:r>
        <w:rPr>
          <w:rFonts w:hint="eastAsia" w:ascii="方正仿宋_GBK" w:hAnsi="方正仿宋_GBK" w:eastAsia="方正仿宋_GBK" w:cs="方正仿宋_GBK"/>
          <w:color w:val="000000"/>
          <w:sz w:val="32"/>
          <w:szCs w:val="32"/>
        </w:rPr>
        <w:t>）；</w:t>
      </w:r>
    </w:p>
    <w:p w14:paraId="17CECFB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《消防通信指挥系统设计规范》（GB50313-2013）</w:t>
      </w:r>
    </w:p>
    <w:p w14:paraId="088E6B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《建筑防火</w:t>
      </w:r>
      <w:r>
        <w:rPr>
          <w:rFonts w:hint="eastAsia" w:ascii="方正仿宋_GBK" w:hAnsi="方正仿宋_GBK" w:eastAsia="方正仿宋_GBK" w:cs="方正仿宋_GBK"/>
          <w:color w:val="000000"/>
          <w:sz w:val="32"/>
          <w:szCs w:val="32"/>
          <w:lang w:eastAsia="zh-CN"/>
        </w:rPr>
        <w:t>通用</w:t>
      </w:r>
      <w:r>
        <w:rPr>
          <w:rFonts w:hint="eastAsia" w:ascii="方正仿宋_GBK" w:hAnsi="方正仿宋_GBK" w:eastAsia="方正仿宋_GBK" w:cs="方正仿宋_GBK"/>
          <w:color w:val="000000"/>
          <w:sz w:val="32"/>
          <w:szCs w:val="32"/>
        </w:rPr>
        <w:t>规范》（GB5</w:t>
      </w:r>
      <w:r>
        <w:rPr>
          <w:rFonts w:hint="eastAsia" w:ascii="方正仿宋_GBK" w:hAnsi="方正仿宋_GBK" w:eastAsia="方正仿宋_GBK" w:cs="方正仿宋_GBK"/>
          <w:color w:val="000000"/>
          <w:sz w:val="32"/>
          <w:szCs w:val="32"/>
          <w:lang w:val="en-US" w:eastAsia="zh-CN"/>
        </w:rPr>
        <w:t>5037</w:t>
      </w:r>
      <w:r>
        <w:rPr>
          <w:rFonts w:hint="eastAsia" w:ascii="方正仿宋_GBK" w:hAnsi="方正仿宋_GBK" w:eastAsia="方正仿宋_GBK" w:cs="方正仿宋_GBK"/>
          <w:color w:val="000000"/>
          <w:sz w:val="32"/>
          <w:szCs w:val="32"/>
        </w:rPr>
        <w:t>-20</w:t>
      </w:r>
      <w:r>
        <w:rPr>
          <w:rFonts w:hint="eastAsia" w:ascii="方正仿宋_GBK" w:hAnsi="方正仿宋_GBK" w:eastAsia="方正仿宋_GBK" w:cs="方正仿宋_GBK"/>
          <w:color w:val="000000"/>
          <w:sz w:val="32"/>
          <w:szCs w:val="32"/>
          <w:lang w:val="en-US" w:eastAsia="zh-CN"/>
        </w:rPr>
        <w:t>22</w:t>
      </w:r>
      <w:r>
        <w:rPr>
          <w:rFonts w:hint="eastAsia" w:ascii="方正仿宋_GBK" w:hAnsi="方正仿宋_GBK" w:eastAsia="方正仿宋_GBK" w:cs="方正仿宋_GBK"/>
          <w:color w:val="000000"/>
          <w:sz w:val="32"/>
          <w:szCs w:val="32"/>
        </w:rPr>
        <w:t>）；</w:t>
      </w:r>
    </w:p>
    <w:p w14:paraId="4A2E34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7.《建筑设计防火规范》（GB50016-2014、2018版）</w:t>
      </w:r>
    </w:p>
    <w:p w14:paraId="596B79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8.</w:t>
      </w:r>
      <w:r>
        <w:rPr>
          <w:rFonts w:hint="eastAsia" w:ascii="方正仿宋_GBK" w:hAnsi="方正仿宋_GBK" w:eastAsia="方正仿宋_GBK" w:cs="方正仿宋_GBK"/>
          <w:color w:val="000000"/>
          <w:sz w:val="32"/>
          <w:szCs w:val="32"/>
        </w:rPr>
        <w:t>《农村防火规范》（GB50039-2010）；</w:t>
      </w:r>
    </w:p>
    <w:p w14:paraId="17CED4B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9.《城市消防规划规范B51080-2015》；</w:t>
      </w:r>
    </w:p>
    <w:p w14:paraId="6BFF9C3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10.《住宅建筑规范》（GB50368）；</w:t>
      </w:r>
    </w:p>
    <w:p w14:paraId="03E742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11.《人员密集场所消防安全管理》（GA654）；</w:t>
      </w:r>
    </w:p>
    <w:p w14:paraId="3C09311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12.《仓储建筑设计防火标准》GB51251-2017）；</w:t>
      </w:r>
    </w:p>
    <w:p w14:paraId="25CD8BF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13.《危险化学品储存通则》（GB15603）；</w:t>
      </w:r>
    </w:p>
    <w:p w14:paraId="751EB83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630" w:leftChars="0" w:right="0" w:right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14.</w:t>
      </w:r>
      <w:r>
        <w:rPr>
          <w:rFonts w:hint="eastAsia" w:ascii="方正仿宋_GBK" w:hAnsi="方正仿宋_GBK" w:eastAsia="方正仿宋_GBK" w:cs="方正仿宋_GBK"/>
          <w:color w:val="000000"/>
          <w:sz w:val="32"/>
          <w:szCs w:val="32"/>
        </w:rPr>
        <w:t>《汽车加油加气</w:t>
      </w:r>
      <w:r>
        <w:rPr>
          <w:rFonts w:hint="eastAsia" w:ascii="方正仿宋_GBK" w:hAnsi="方正仿宋_GBK" w:eastAsia="方正仿宋_GBK" w:cs="方正仿宋_GBK"/>
          <w:color w:val="000000"/>
          <w:sz w:val="32"/>
          <w:szCs w:val="32"/>
          <w:lang w:eastAsia="zh-CN"/>
        </w:rPr>
        <w:t>加氢</w:t>
      </w:r>
      <w:r>
        <w:rPr>
          <w:rFonts w:hint="eastAsia" w:ascii="方正仿宋_GBK" w:hAnsi="方正仿宋_GBK" w:eastAsia="方正仿宋_GBK" w:cs="方正仿宋_GBK"/>
          <w:color w:val="000000"/>
          <w:sz w:val="32"/>
          <w:szCs w:val="32"/>
        </w:rPr>
        <w:t>站设计</w:t>
      </w:r>
      <w:r>
        <w:rPr>
          <w:rFonts w:hint="eastAsia" w:ascii="方正仿宋_GBK" w:hAnsi="方正仿宋_GBK" w:eastAsia="方正仿宋_GBK" w:cs="方正仿宋_GBK"/>
          <w:color w:val="000000"/>
          <w:sz w:val="32"/>
          <w:szCs w:val="32"/>
          <w:lang w:eastAsia="zh-CN"/>
        </w:rPr>
        <w:t>标准</w:t>
      </w:r>
      <w:r>
        <w:rPr>
          <w:rFonts w:hint="eastAsia" w:ascii="方正仿宋_GBK" w:hAnsi="方正仿宋_GBK" w:eastAsia="方正仿宋_GBK" w:cs="方正仿宋_GBK"/>
          <w:color w:val="000000"/>
          <w:sz w:val="32"/>
          <w:szCs w:val="32"/>
        </w:rPr>
        <w:t>》（GB50156-2021）；</w:t>
      </w:r>
    </w:p>
    <w:p w14:paraId="3CDFB17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jc w:val="left"/>
        <w:textAlignment w:val="auto"/>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val="en-US" w:eastAsia="zh-CN"/>
        </w:rPr>
        <w:t>15.</w:t>
      </w:r>
      <w:r>
        <w:rPr>
          <w:rFonts w:hint="eastAsia" w:ascii="方正仿宋_GBK" w:hAnsi="方正仿宋_GBK" w:eastAsia="方正仿宋_GBK" w:cs="方正仿宋_GBK"/>
          <w:color w:val="000000"/>
          <w:sz w:val="32"/>
          <w:szCs w:val="32"/>
        </w:rPr>
        <w:t>《霍城县国土空间总体规划（2021—2035 年）》</w:t>
      </w:r>
      <w:r>
        <w:rPr>
          <w:rFonts w:hint="eastAsia" w:ascii="方正仿宋_GBK" w:hAnsi="方正仿宋_GBK" w:eastAsia="方正仿宋_GBK" w:cs="方正仿宋_GBK"/>
          <w:color w:val="000000"/>
          <w:sz w:val="32"/>
          <w:szCs w:val="32"/>
          <w:lang w:eastAsia="zh-CN"/>
        </w:rPr>
        <w:t>；</w:t>
      </w:r>
    </w:p>
    <w:p w14:paraId="698645C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16.</w:t>
      </w:r>
      <w:r>
        <w:rPr>
          <w:rFonts w:hint="eastAsia" w:ascii="方正仿宋_GBK" w:hAnsi="方正仿宋_GBK" w:eastAsia="方正仿宋_GBK" w:cs="方正仿宋_GBK"/>
          <w:color w:val="000000"/>
          <w:sz w:val="32"/>
          <w:szCs w:val="32"/>
        </w:rPr>
        <w:t>《新疆维吾尔自治区消防条例》；</w:t>
      </w:r>
    </w:p>
    <w:p w14:paraId="6DEA6D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17.</w:t>
      </w:r>
      <w:r>
        <w:rPr>
          <w:rFonts w:hint="eastAsia" w:ascii="方正仿宋_GBK" w:hAnsi="方正仿宋_GBK" w:eastAsia="方正仿宋_GBK" w:cs="方正仿宋_GBK"/>
          <w:color w:val="000000"/>
          <w:sz w:val="32"/>
          <w:szCs w:val="32"/>
        </w:rPr>
        <w:t>《新疆维吾尔自治区国土空间相关专项规划衔接技术导则 (试行)》</w:t>
      </w:r>
    </w:p>
    <w:p w14:paraId="4A2ED4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rPr>
        <w:t>二、规划指导思想</w:t>
      </w:r>
    </w:p>
    <w:p w14:paraId="5F7456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以习近平新时代中国特色社会主义思想为指导，全面贯彻党的二十大精神和新时代党的治疆方略，落实 “预防为主、防消结合” 的消防工作方针，立足霍城县 “两霍两伊一体化” 发展区重要支点城市定位，结合国土空间总体规划布局，坚持消防建设与城市发展同步规划、同步实施、同步发展，突出重点区域防控，优化消防设施布局，完善消防应急体系，全面提升城乡抗御火灾和应急救援能力，为霍城县经济社会高质量发展和人民群众生命财产安全提供坚实保障。</w:t>
      </w:r>
    </w:p>
    <w:p w14:paraId="72B8C4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rPr>
        <w:t>三、规划原则</w:t>
      </w:r>
    </w:p>
    <w:p w14:paraId="19E5883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统筹协调，同步发展：消防规划与国土空间规划、产业发展规划、基础设施规划等有机衔接，实现消防建设与城市建设、乡村振兴、区域协同发展相协调。</w:t>
      </w:r>
    </w:p>
    <w:p w14:paraId="4D17BBE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突出重点，精准防控：聚焦重点消防区域、重点产业园区、人员密集场所等关键部位，科学划分消防分区，实施差异化防控策略。</w:t>
      </w:r>
    </w:p>
    <w:p w14:paraId="0C650A6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 xml:space="preserve"> 2.</w:t>
      </w:r>
      <w:r>
        <w:rPr>
          <w:rFonts w:hint="eastAsia" w:ascii="方正仿宋_GBK" w:hAnsi="方正仿宋_GBK" w:eastAsia="方正仿宋_GBK" w:cs="方正仿宋_GBK"/>
          <w:color w:val="000000"/>
          <w:sz w:val="32"/>
          <w:szCs w:val="32"/>
        </w:rPr>
        <w:t>因地制宜，实用高效：结合霍城县 “山地 — 丘陵 — 平原 — 谷地 — 沙漠” 的自然地理格局和城乡发展特点，规划符合实际、便于操作、高效实用的消防体系。</w:t>
      </w:r>
    </w:p>
    <w:p w14:paraId="018121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 xml:space="preserve"> 3.</w:t>
      </w:r>
      <w:r>
        <w:rPr>
          <w:rFonts w:hint="eastAsia" w:ascii="方正仿宋_GBK" w:hAnsi="方正仿宋_GBK" w:eastAsia="方正仿宋_GBK" w:cs="方正仿宋_GBK"/>
          <w:color w:val="000000"/>
          <w:sz w:val="32"/>
          <w:szCs w:val="32"/>
        </w:rPr>
        <w:t>科技赋能，智慧消防：融入数字化、智能化技术，推进智慧消防建设，提升消防监督、预警、调度和救援的信息化水平。</w:t>
      </w:r>
    </w:p>
    <w:p w14:paraId="09CEE92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全域覆盖，城乡统筹：兼顾城镇与乡村消防需求，健全城乡一体化消防设施网络，推动消防资源向乡村延伸覆盖。</w:t>
      </w:r>
    </w:p>
    <w:p w14:paraId="753C9B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color w:val="000000"/>
          <w:sz w:val="32"/>
          <w:szCs w:val="32"/>
        </w:rPr>
      </w:pPr>
    </w:p>
    <w:p w14:paraId="5E6E7C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四、消防现状分析与评估</w:t>
      </w:r>
    </w:p>
    <w:p w14:paraId="1F9AC2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（一）现状概况</w:t>
      </w:r>
      <w:r>
        <w:rPr>
          <w:rFonts w:hint="eastAsia" w:ascii="方正仿宋_GBK" w:hAnsi="方正仿宋_GBK" w:eastAsia="方正仿宋_GBK" w:cs="方正仿宋_GBK"/>
          <w:b w:val="0"/>
          <w:bCs w:val="0"/>
          <w:color w:val="000000"/>
          <w:kern w:val="0"/>
          <w:sz w:val="32"/>
          <w:szCs w:val="32"/>
          <w:lang w:val="en-US" w:eastAsia="zh-CN" w:bidi="ar"/>
        </w:rPr>
        <w:t>：霍城县地处“两霍两伊一体化”发展重要支点，县域国土空间格局为“一屏、一廊、两心、两轴、三区”，城镇空间“一主两副两轴”，产业布局“两带一轴、双核多园”。县域涵盖中心城区（水定镇、兰干镇）、多个产业园区、旅游景区、乡镇及农村区域，既有城镇建成区，也包含山地、丘陵、谷地、沙漠等复杂地理单元。随着产业园区扩张、文旅产业发展、城镇建设推进，消防安全保障压力持续增大。</w:t>
      </w:r>
    </w:p>
    <w:p w14:paraId="78AE35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（二）消防站现状配置情况</w:t>
      </w:r>
    </w:p>
    <w:p w14:paraId="490312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现状：县域已建成2座政府消防站：水定镇中心城区消防站、清水河镇消防站；惠远镇暂无独立消防站，辖区灭火救援依托中心城区消防站跨辖区出警处置。</w:t>
      </w:r>
    </w:p>
    <w:p w14:paraId="413024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水定镇中心城区消防站：承担县城水定镇、兰干镇及周边部分乡镇灭火救援任务。</w:t>
      </w:r>
    </w:p>
    <w:p w14:paraId="4199DF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清水河镇消防站：服务清水河镇商贸物流、工业园区及北部片区。</w:t>
      </w:r>
    </w:p>
    <w:p w14:paraId="3CFF96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惠远镇无独立消防站，惠远古城历史文化片区、惠远镇镇区灾害处置需依赖中心城区消防站远距离调派。</w:t>
      </w:r>
    </w:p>
    <w:p w14:paraId="4AEF20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乡镇层面：全县各乡镇尚未全部建成标准化乡镇专职消防队；行政村以志愿微型消防力量为主，装备配置不均衡。</w:t>
      </w:r>
    </w:p>
    <w:p w14:paraId="2DE40C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存在主要短板：</w:t>
      </w:r>
    </w:p>
    <w:p w14:paraId="37A9B8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1.站点数量不足，惠远镇作为我县国家级重点乡镇无独立消防站，乡镇责任区面积大，部分区域接警到达时间难以完全满足规范要求。</w:t>
      </w:r>
    </w:p>
    <w:p w14:paraId="3FFC28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2.现有两座消防站以常规灭火救援为主，缺少化工危化处置、山地搜救、水域救援等专业特勤装备，重大灾害、多灾点同时发生时，增援与后勤保障能力不足。</w:t>
      </w:r>
    </w:p>
    <w:p w14:paraId="3F482E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3.基层乡镇、村社专职、志愿消防队伍建设参差不齐，人员流动性大，器材配置不足，初起火灾处置能力有限。</w:t>
      </w:r>
    </w:p>
    <w:p w14:paraId="50CD85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（三）消防供水现状配置情况</w:t>
      </w:r>
    </w:p>
    <w:p w14:paraId="0E882B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城区供水：中心城区、清水河镇现状依托市政供水管网提供消防水源；部分老旧城区、城乡结合部管网老化，部分管网未形成环状布局。</w:t>
      </w:r>
    </w:p>
    <w:p w14:paraId="7CB4F0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天然水源：县域伊犁河、萨尔布拉克河、果子沟河、麻杆沟水库具备天然消防水源条件，但多数河段、水库尚未建设标准化消防取水点，缺少取水平台、回车场、破冰防冻设施，冬季取水保障不足。</w:t>
      </w:r>
    </w:p>
    <w:p w14:paraId="19AABA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乡镇及农村：多数乡镇、行政村缺少专用消防蓄水池，农村消防供水依托生活供水，供水流量、水压难以满足消防灭火要求。</w:t>
      </w:r>
    </w:p>
    <w:p w14:paraId="28238A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产业园区：部分产业园区内部自建消防水池，但部分小微企业、小型仓储场所未落实消防水池建设要求。</w:t>
      </w:r>
    </w:p>
    <w:p w14:paraId="3AC62F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存在主要短板：</w:t>
      </w:r>
    </w:p>
    <w:p w14:paraId="095F77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1.市政消火栓缺口大，布局不均衡，老旧小区、城乡结合部、产业园区部分地段消火栓缺失，部分消火栓损坏、埋压，完好率有待提升。</w:t>
      </w:r>
    </w:p>
    <w:p w14:paraId="4BF1F5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2.部分城区供水管网为枝状管网，供水可靠性不足；部分管段管径偏小，无法满足消防供水流量压力要求。</w:t>
      </w:r>
    </w:p>
    <w:p w14:paraId="7032AE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3.天然消防水源利用不足，缺少标准化取水设施，严寒季节取水保障条件差。</w:t>
      </w:r>
    </w:p>
    <w:p w14:paraId="7D0B8B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4.乡镇、农村消防蓄水池建设滞后，农村消防供水保障薄弱。</w:t>
      </w:r>
    </w:p>
    <w:p w14:paraId="4DC8D0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5.部分企业消防水池运维管理不到位，存在水位不足、设施失效等隐患。</w:t>
      </w:r>
    </w:p>
    <w:p w14:paraId="3C619C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（四）消防通道现状配置情况</w:t>
      </w:r>
    </w:p>
    <w:p w14:paraId="4D1E31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县域现状一级消防救援通道依托G218国道、连霍高速、清伊高速，实现县域跨区域救援通行；城区现状已建成环城路、团结路、朝阳路、北京路等城市主次干道作为二级消防通道；片区内部支路、街坊巷道构成三、四级末梢通道。乡镇以镇区主干道作为主要救援通道，农村依靠村组道路通行。</w:t>
      </w:r>
    </w:p>
    <w:p w14:paraId="30E9FB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存在主要短板</w:t>
      </w:r>
    </w:p>
    <w:p w14:paraId="169775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1.中心城区部分老旧街巷、棚户区、城中村道路狭窄，部分道路宽度不足4m，存在断头路，缺少回车场地，消防车通行条件受限，“最后一公里”通行障碍突出。</w:t>
      </w:r>
    </w:p>
    <w:p w14:paraId="250841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2.小区内部、集贸市场、城乡结合部存在占用、堵塞消防通道现象，占道停车、堆物、私设路障问题时有发生。</w:t>
      </w:r>
    </w:p>
    <w:p w14:paraId="357D49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3.部分产业园区内部支路未严格按规范设置环形消防车道，尽端式道路缺少标准化回车场地。</w:t>
      </w:r>
    </w:p>
    <w:p w14:paraId="5E88E1E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color w:val="000000"/>
          <w:kern w:val="0"/>
          <w:sz w:val="32"/>
          <w:szCs w:val="32"/>
          <w:lang w:val="en-US" w:eastAsia="zh-CN" w:bidi="ar"/>
        </w:rPr>
        <w:t>4.乡镇、农村部分村组道路硬化不足，道路宽度不够，部分桥梁限载不能满足重型消防车通行条件。</w:t>
      </w:r>
    </w:p>
    <w:p w14:paraId="45A6E03C">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000000"/>
          <w:kern w:val="0"/>
          <w:sz w:val="32"/>
          <w:szCs w:val="32"/>
          <w:lang w:val="en-US" w:eastAsia="zh-CN" w:bidi="ar"/>
        </w:rPr>
        <w:t>（五）消防救援力量现状分析评估</w:t>
      </w:r>
    </w:p>
    <w:p w14:paraId="12DECF5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县域现状已建成2座消防站（水定镇中心城区消防站、清水河镇消防站），惠远镇尚无独立消防站。现有消防站以常规灭火救援为主、高空救援等专业装备配置不足；乡镇层面，全县各乡镇尚未全部建成标准化专职消防队，行政村以志愿微型消防力量为主，装备配置不均衡。消防救援队伍整体面临“警力不足、装备滞后、执勤任务繁重”的突出矛盾，难以有效应对化工灾害、历史建筑火灾、航空器事故等特殊灾害场景的专业处置需求。</w:t>
      </w:r>
    </w:p>
    <w:p w14:paraId="272338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sz w:val="32"/>
          <w:szCs w:val="32"/>
          <w:lang w:val="en-US" w:eastAsia="zh-CN"/>
        </w:rPr>
      </w:pPr>
      <w:r>
        <w:rPr>
          <w:rFonts w:hint="eastAsia" w:ascii="方正仿宋_GBK" w:hAnsi="方正仿宋_GBK" w:eastAsia="方正仿宋_GBK" w:cs="方正仿宋_GBK"/>
          <w:b/>
          <w:bCs/>
          <w:color w:val="000000"/>
          <w:kern w:val="0"/>
          <w:sz w:val="32"/>
          <w:szCs w:val="32"/>
          <w:lang w:val="en-US" w:eastAsia="zh-CN" w:bidi="ar"/>
        </w:rPr>
        <w:t>（六）</w:t>
      </w:r>
      <w:r>
        <w:rPr>
          <w:rFonts w:hint="eastAsia" w:ascii="方正仿宋_GBK" w:hAnsi="方正仿宋_GBK" w:eastAsia="方正仿宋_GBK" w:cs="方正仿宋_GBK"/>
          <w:b/>
          <w:bCs/>
          <w:color w:val="000000"/>
          <w:sz w:val="32"/>
          <w:szCs w:val="32"/>
          <w:lang w:val="en-US" w:eastAsia="zh-CN"/>
        </w:rPr>
        <w:t>消防通信现状分析评估</w:t>
      </w:r>
    </w:p>
    <w:p w14:paraId="5BADB6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现状配置情况：现有119火警接入公共通信网络，已实现消防站有线电话报警；具备基础无线对讲通信手段，可满足日常接处警基本通信需求；智慧消防平台和消</w:t>
      </w:r>
      <w:r>
        <w:rPr>
          <w:rFonts w:hint="eastAsia" w:ascii="方正仿宋_GBK" w:hAnsi="方正仿宋_GBK" w:eastAsia="方正仿宋_GBK" w:cs="方正仿宋_GBK"/>
          <w:b w:val="0"/>
          <w:bCs w:val="0"/>
          <w:color w:val="000000"/>
          <w:kern w:val="2"/>
          <w:sz w:val="32"/>
          <w:szCs w:val="32"/>
          <w:lang w:val="en-US" w:eastAsia="zh-CN" w:bidi="ar-SA"/>
        </w:rPr>
        <w:t>防无线通信 “三级组网”</w:t>
      </w:r>
      <w:r>
        <w:rPr>
          <w:rFonts w:hint="eastAsia" w:ascii="方正仿宋_GBK" w:hAnsi="方正仿宋_GBK" w:eastAsia="方正仿宋_GBK" w:cs="方正仿宋_GBK"/>
          <w:b w:val="0"/>
          <w:bCs w:val="0"/>
          <w:color w:val="000000"/>
          <w:kern w:val="0"/>
          <w:sz w:val="32"/>
          <w:szCs w:val="32"/>
          <w:lang w:val="en-US" w:eastAsia="zh-CN" w:bidi="ar"/>
        </w:rPr>
        <w:t>尚未系统搭建，重点单位监控、消防水源监测、车辆动态管控信息化程度较低。</w:t>
      </w:r>
    </w:p>
    <w:p w14:paraId="58FDD5C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存在主要短板：</w:t>
      </w:r>
    </w:p>
    <w:p w14:paraId="0F3E59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1.火场无线通信三级组网不完善，部分山区、河谷、偏远乡镇无线信号覆盖存在盲区，复杂灾害现场通信保障能力不足。</w:t>
      </w:r>
    </w:p>
    <w:p w14:paraId="161C7D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2.缺少消防数字一张图、灭火救援预案数据库，消防水源、重点单位、建筑基础信息未实现统一数字化管理。</w:t>
      </w:r>
    </w:p>
    <w:p w14:paraId="79D1EA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3.缺少火场图像实时传输、车辆动态监控、前端感知预警等智慧消防硬件系统，信息化赋能实战程度不高。</w:t>
      </w:r>
    </w:p>
    <w:p w14:paraId="708549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4.消防救援机构与供水、供电、燃气、医疗等联动单位专线协同调度机制有待完善。</w:t>
      </w:r>
    </w:p>
    <w:p w14:paraId="3296CD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（七）消防疏散避难场所现状分析评估</w:t>
      </w:r>
    </w:p>
    <w:p w14:paraId="0DFB21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现状配置情况：现状可利用学校操场、公园、广场等开放空间作为应急避难疏散场地，具备一定应急避难基础条件；但尚未按照《新疆应急避难场所建设技术标准》完成县级、乡镇级、社区级避难场所标准化建设。</w:t>
      </w:r>
    </w:p>
    <w:p w14:paraId="60959D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存在主要短板</w:t>
      </w:r>
    </w:p>
    <w:p w14:paraId="7BD107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1.避难场所未系统划分县级‑乡镇‑社区三级体系，缺少标准化应急供水、应急厕所、应急照明、应急消防、物资储备、标识系统等配套设施。</w:t>
      </w:r>
    </w:p>
    <w:p w14:paraId="0A7DF8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2.避难疏散指示标识缺失，疏散通道与避难场所之间衔接不畅。</w:t>
      </w:r>
    </w:p>
    <w:p w14:paraId="2C0423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3.避难场所多为兼用场地，平灾转换机制不健全，应急管理运维体系尚未完全建立。</w:t>
      </w:r>
    </w:p>
    <w:p w14:paraId="3EAB29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bCs/>
          <w:color w:val="000000"/>
          <w:kern w:val="0"/>
          <w:sz w:val="32"/>
          <w:szCs w:val="32"/>
          <w:lang w:val="en-US" w:eastAsia="zh-CN" w:bidi="ar"/>
        </w:rPr>
        <w:t>（八）其他消防现状（易燃易爆、基层力量、历史建筑</w:t>
      </w:r>
    </w:p>
    <w:p w14:paraId="6ECF8CC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易燃易爆设施：县域加油加气站、天然气站、危化仓储分布广，部分早期建设项目安全防护距离、消防配套设施有待完善；危化品运输通行管控尚未实现分阶段分区常态化落地。</w:t>
      </w:r>
    </w:p>
    <w:p w14:paraId="5EFE194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历史文物建筑：惠远古城、大西沟传统村落木质建筑集中，防火改造、独立式烟感、简易喷淋等消防设施配置不足，古城消防联防联控机制有待完善。</w:t>
      </w:r>
    </w:p>
    <w:p w14:paraId="06534D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bCs/>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基层消防力量：县级-乡镇-村社三级消防管理网络尚未完全成型，微型消防站建设不均衡，志愿消防队伍器材、人员培训不足，初起火灾处置能力有待加强。</w:t>
      </w:r>
    </w:p>
    <w:p w14:paraId="2D2EC6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五、规划期限</w:t>
      </w:r>
    </w:p>
    <w:p w14:paraId="103647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近期：2026 年 —2030 年；</w:t>
      </w:r>
    </w:p>
    <w:p w14:paraId="6055EA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远期：2031 年 —</w:t>
      </w:r>
      <w:r>
        <w:rPr>
          <w:rFonts w:hint="eastAsia" w:ascii="方正仿宋_GBK" w:hAnsi="方正仿宋_GBK" w:eastAsia="方正仿宋_GBK" w:cs="方正仿宋_GBK"/>
          <w:color w:val="000000"/>
          <w:sz w:val="32"/>
          <w:szCs w:val="32"/>
          <w:lang w:eastAsia="zh-CN"/>
        </w:rPr>
        <w:t>2035</w:t>
      </w:r>
      <w:r>
        <w:rPr>
          <w:rFonts w:hint="eastAsia" w:ascii="方正仿宋_GBK" w:hAnsi="方正仿宋_GBK" w:eastAsia="方正仿宋_GBK" w:cs="方正仿宋_GBK"/>
          <w:color w:val="000000"/>
          <w:sz w:val="32"/>
          <w:szCs w:val="32"/>
        </w:rPr>
        <w:t xml:space="preserve"> 年。</w:t>
      </w:r>
    </w:p>
    <w:p w14:paraId="471915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lang w:eastAsia="zh-CN"/>
        </w:rPr>
        <w:t>六</w:t>
      </w:r>
      <w:r>
        <w:rPr>
          <w:rFonts w:hint="eastAsia" w:ascii="方正黑体_GBK" w:hAnsi="方正黑体_GBK" w:eastAsia="方正黑体_GBK" w:cs="方正黑体_GBK"/>
          <w:b w:val="0"/>
          <w:bCs w:val="0"/>
          <w:color w:val="000000"/>
          <w:sz w:val="32"/>
          <w:szCs w:val="32"/>
        </w:rPr>
        <w:t>、规划范围</w:t>
      </w:r>
    </w:p>
    <w:p w14:paraId="2DE477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kern w:val="0"/>
          <w:sz w:val="32"/>
          <w:szCs w:val="32"/>
          <w:lang w:val="en-US" w:eastAsia="zh-CN" w:bidi="ar"/>
        </w:rPr>
        <w:t>与《霍城县国土空间总体规划（2021—2035 年）》一致，涵盖霍城县全部行政辖区范围，包括县域和中心城区两个层次，其中中心城区包括水定镇和兰干镇的城镇集中建设区。</w:t>
      </w:r>
    </w:p>
    <w:p w14:paraId="683FC0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lang w:eastAsia="zh-CN"/>
        </w:rPr>
        <w:t>七</w:t>
      </w:r>
      <w:r>
        <w:rPr>
          <w:rFonts w:hint="eastAsia" w:ascii="方正黑体_GBK" w:hAnsi="方正黑体_GBK" w:eastAsia="方正黑体_GBK" w:cs="方正黑体_GBK"/>
          <w:b w:val="0"/>
          <w:bCs w:val="0"/>
          <w:color w:val="000000"/>
          <w:sz w:val="32"/>
          <w:szCs w:val="32"/>
        </w:rPr>
        <w:t>、规划目标</w:t>
      </w:r>
    </w:p>
    <w:p w14:paraId="66E5AC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（一）近期目标（2026—2030 年）</w:t>
      </w:r>
    </w:p>
    <w:p w14:paraId="7C22389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补齐市政消火栓短板，消防供水、通信保障能力显著提升。</w:t>
      </w:r>
    </w:p>
    <w:p w14:paraId="4F0C55A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2.建立健全重点区域消防防控体系，完成对惠远古城、产业园区、人员密集场所等重点部位的消防安全整治，消除重大火灾隐患。</w:t>
      </w:r>
    </w:p>
    <w:p w14:paraId="2F747B7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3.构建 “县级 — 乡镇级 — 社区（行政村）级” 三级消防管理网络，全民消防意识明显增强，基层消防力量得到有效补充。</w:t>
      </w:r>
    </w:p>
    <w:p w14:paraId="7F3E6EF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4.消防应急响应能力显著提升，中心城区消防车接警后 5 分钟内到达责任区边缘，乡镇镇区 10 分钟内到达。</w:t>
      </w:r>
    </w:p>
    <w:p w14:paraId="34FE28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（二）远期目标（2031—</w:t>
      </w:r>
      <w:r>
        <w:rPr>
          <w:rFonts w:hint="eastAsia" w:ascii="方正仿宋_GBK" w:hAnsi="方正仿宋_GBK" w:eastAsia="方正仿宋_GBK" w:cs="方正仿宋_GBK"/>
          <w:color w:val="000000"/>
          <w:sz w:val="32"/>
          <w:szCs w:val="32"/>
          <w:lang w:eastAsia="zh-CN"/>
        </w:rPr>
        <w:t>2035</w:t>
      </w:r>
      <w:r>
        <w:rPr>
          <w:rFonts w:hint="eastAsia" w:ascii="方正仿宋_GBK" w:hAnsi="方正仿宋_GBK" w:eastAsia="方正仿宋_GBK" w:cs="方正仿宋_GBK"/>
          <w:color w:val="000000"/>
          <w:sz w:val="32"/>
          <w:szCs w:val="32"/>
        </w:rPr>
        <w:t xml:space="preserve"> 年）</w:t>
      </w:r>
    </w:p>
    <w:p w14:paraId="0781923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建成与霍城县城市定位相匹配、与国土空间格局相适应的现代化消防安全体系，形成 “布局合理、设施完善、装备精良、队伍专业、管理高效” 的消防发展格局。</w:t>
      </w:r>
    </w:p>
    <w:p w14:paraId="7E4E7BF4">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全面提升高层建筑、地下空间、化工企业、文化旅游设施等复杂场所的火灾扑救和应急救援能力，抗御特大火灾能力显著增强。</w:t>
      </w:r>
    </w:p>
    <w:p w14:paraId="48CF6BB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实现消防队伍和设施向多功能发展，建成一支集火灾扑救、抢险救援、应急处置于一体的综合性消防力量，能够有效应对各类灾害事故。</w:t>
      </w:r>
    </w:p>
    <w:p w14:paraId="52E55EF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智慧消防体系全面建成，消防信息化、智能化水平达到区域先进水平，全民消防安全素养全面提升，火灾事故起数和损失持续下降。</w:t>
      </w:r>
    </w:p>
    <w:p w14:paraId="09311F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第二章 城市火灾风险评估</w:t>
      </w:r>
    </w:p>
    <w:p w14:paraId="5FEF80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rPr>
        <w:t>一、规划用地布局与火灾风险特征</w:t>
      </w:r>
    </w:p>
    <w:p w14:paraId="12DB66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kern w:val="0"/>
          <w:sz w:val="32"/>
          <w:szCs w:val="32"/>
          <w:lang w:val="en-US" w:eastAsia="zh-CN" w:bidi="ar"/>
        </w:rPr>
        <w:t>根据《霍城县国土空间总体规划（2021—2035 年）》，县域形成 “一屏、一廊、两心、两轴、三区” 的国土空间总体格局，城镇空间构建 “一主两副两轴” 结构，产业布局形成 “两带一轴、双核多园”格局。结合区域特点，火灾风险主要呈现以下特征：</w:t>
      </w:r>
    </w:p>
    <w:p w14:paraId="6B3B28E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产业聚集区风险：煤炭煤电煤化工、新能源新材料、农副产品精深加工等产业园区，存在生产原料、产品储存运输过程中的火灾爆炸风险，部分园区消防设施配套不足。</w:t>
      </w:r>
    </w:p>
    <w:p w14:paraId="40381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城乡结合部风险：城镇开发边界扩展区域、城中村及棚户区，建筑密度大、耐火等级低、消防通道不畅，电气老化、用火不规范等隐患突出。</w:t>
      </w:r>
    </w:p>
    <w:p w14:paraId="4252D4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人员密集场所风险：惠远古城、中华福寿山、赛里木湖 - 果子沟等旅游景区，以及商场、医院、学校、客运站等公共服务设施，人流集中，火灾蔓延快、疏散难度大。</w:t>
      </w:r>
    </w:p>
    <w:p w14:paraId="156159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自然地理风险：北部山区生态涵养区森林火灾风险较高，西南部沙漠防风固沙区干旱少雨，植被易燃，春季火灾易发；伊犁河等流域存在洪涝次生火灾风险。</w:t>
      </w:r>
    </w:p>
    <w:p w14:paraId="2DF033D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基础设施风险：部分乡村地区消防供水、供电、通信设施薄弱，消防通道通达性差，应急响应能力不足。</w:t>
      </w:r>
    </w:p>
    <w:p w14:paraId="391B3B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二、火灾情况及成因分析</w:t>
      </w:r>
    </w:p>
    <w:p w14:paraId="43CDC5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color w:val="000000"/>
          <w:kern w:val="0"/>
          <w:sz w:val="32"/>
          <w:szCs w:val="32"/>
          <w:lang w:val="en-US" w:eastAsia="zh-CN" w:bidi="ar"/>
        </w:rPr>
      </w:pPr>
      <w:r>
        <w:rPr>
          <w:rFonts w:hint="eastAsia" w:ascii="方正仿宋_GBK" w:hAnsi="方正仿宋_GBK" w:eastAsia="方正仿宋_GBK" w:cs="方正仿宋_GBK"/>
          <w:b w:val="0"/>
          <w:bCs w:val="0"/>
          <w:color w:val="000000"/>
          <w:kern w:val="0"/>
          <w:sz w:val="32"/>
          <w:szCs w:val="32"/>
          <w:lang w:val="en-US" w:eastAsia="zh-CN" w:bidi="ar"/>
        </w:rPr>
        <w:t>2020-2025年，霍城县总共发生大小火灾1833起，五年内火灾损失共计1636.71万元，无人员伤亡。</w:t>
      </w:r>
    </w:p>
    <w:p w14:paraId="7CE33E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结合区域实际和同类地区火灾规律，霍城县火灾成因主要包括：</w:t>
      </w:r>
    </w:p>
    <w:p w14:paraId="4E1085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电气安全：电源线路老化短路、家用电器超负荷使用、私拉乱接电线等；</w:t>
      </w:r>
    </w:p>
    <w:p w14:paraId="4E6980C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用火管理：生产生活用火不慎、祭祀焚烧、燃放烟花爆竹等；</w:t>
      </w:r>
    </w:p>
    <w:p w14:paraId="796AA29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设施缺陷：部分建筑耐火等级低、消防设施配置不足或失效、消防通道堵塞等；</w:t>
      </w:r>
    </w:p>
    <w:p w14:paraId="05A0A2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产业特性：</w:t>
      </w:r>
      <w:r>
        <w:rPr>
          <w:rFonts w:hint="eastAsia" w:ascii="方正仿宋_GBK" w:hAnsi="方正仿宋_GBK" w:eastAsia="方正仿宋_GBK" w:cs="方正仿宋_GBK"/>
          <w:color w:val="000000"/>
          <w:sz w:val="32"/>
          <w:szCs w:val="32"/>
          <w:lang w:eastAsia="zh-CN"/>
        </w:rPr>
        <w:t>园区</w:t>
      </w:r>
      <w:r>
        <w:rPr>
          <w:rFonts w:hint="eastAsia" w:ascii="方正仿宋_GBK" w:hAnsi="方正仿宋_GBK" w:eastAsia="方正仿宋_GBK" w:cs="方正仿宋_GBK"/>
          <w:color w:val="000000"/>
          <w:sz w:val="32"/>
          <w:szCs w:val="32"/>
        </w:rPr>
        <w:t>企业、仓储物流场所等特殊产业的生产储存环节操作不当或设施老化；</w:t>
      </w:r>
    </w:p>
    <w:p w14:paraId="63966EC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自然因素：干旱天气、大风天气等自然条件引发的森林草原火灾。</w:t>
      </w:r>
    </w:p>
    <w:p w14:paraId="7785B3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黑体_GBK" w:hAnsi="方正黑体_GBK" w:eastAsia="方正黑体_GBK" w:cs="方正黑体_GBK"/>
          <w:b w:val="0"/>
          <w:bCs w:val="0"/>
          <w:color w:val="000000"/>
          <w:sz w:val="32"/>
          <w:szCs w:val="32"/>
          <w:lang w:eastAsia="zh-CN"/>
        </w:rPr>
      </w:pPr>
      <w:r>
        <w:rPr>
          <w:rFonts w:hint="eastAsia" w:ascii="方正黑体_GBK" w:hAnsi="方正黑体_GBK" w:eastAsia="方正黑体_GBK" w:cs="方正黑体_GBK"/>
          <w:b w:val="0"/>
          <w:bCs w:val="0"/>
          <w:color w:val="000000"/>
          <w:sz w:val="32"/>
          <w:szCs w:val="32"/>
        </w:rPr>
        <w:t>三、</w:t>
      </w:r>
      <w:r>
        <w:rPr>
          <w:rFonts w:hint="eastAsia" w:ascii="方正黑体_GBK" w:hAnsi="方正黑体_GBK" w:eastAsia="方正黑体_GBK" w:cs="方正黑体_GBK"/>
          <w:b w:val="0"/>
          <w:bCs w:val="0"/>
          <w:color w:val="000000"/>
          <w:sz w:val="32"/>
          <w:szCs w:val="32"/>
          <w:lang w:eastAsia="zh-CN"/>
        </w:rPr>
        <w:t>城市</w:t>
      </w:r>
      <w:r>
        <w:rPr>
          <w:rFonts w:hint="eastAsia" w:ascii="方正黑体_GBK" w:hAnsi="方正黑体_GBK" w:eastAsia="方正黑体_GBK" w:cs="方正黑体_GBK"/>
          <w:b w:val="0"/>
          <w:bCs w:val="0"/>
          <w:color w:val="000000"/>
          <w:sz w:val="32"/>
          <w:szCs w:val="32"/>
        </w:rPr>
        <w:t>消防分区规划</w:t>
      </w:r>
    </w:p>
    <w:p w14:paraId="3533C6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auto"/>
          <w:kern w:val="2"/>
          <w:sz w:val="32"/>
          <w:szCs w:val="32"/>
          <w:lang w:val="en-US" w:eastAsia="zh-CN" w:bidi="ar-SA"/>
        </w:rPr>
      </w:pPr>
      <w:r>
        <w:rPr>
          <w:rFonts w:hint="eastAsia" w:ascii="方正仿宋_GBK" w:hAnsi="方正仿宋_GBK" w:eastAsia="方正仿宋_GBK" w:cs="方正仿宋_GBK"/>
          <w:b/>
          <w:bCs/>
          <w:color w:val="auto"/>
          <w:kern w:val="2"/>
          <w:sz w:val="32"/>
          <w:szCs w:val="32"/>
          <w:lang w:val="en-US" w:eastAsia="zh-CN" w:bidi="ar-SA"/>
        </w:rPr>
        <w:t>（一）重点消防地区（总面积约2329公顷，占城镇建设用地90%）</w:t>
      </w:r>
    </w:p>
    <w:p w14:paraId="656EF8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 xml:space="preserve">  1.A类重点消防地区（工业与物流仓储集中区）总面积约 520公顷：包括霍城经济开发区210公顷、新荣产业园、朝阳产业园150公顷、三道河新材料产业园90公顷等产业园区以及集中物流仓储用地70公顷。管控要点：该区域产业集聚、火灾荷载大，需完善市政消火栓、专职微型消防站配套，落实园区消防设施配套和常态化监管及危化品分区存储管控。</w:t>
      </w:r>
    </w:p>
    <w:p w14:paraId="7AFE132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bCs/>
          <w:color w:val="auto"/>
          <w:kern w:val="2"/>
          <w:sz w:val="32"/>
          <w:szCs w:val="32"/>
          <w:lang w:val="en-US" w:eastAsia="zh-CN" w:bidi="ar-SA"/>
        </w:rPr>
        <w:t>规范依据《城市消防规划规范GB51080-2015》、《建筑设计防火规范》（GB50016-2014、2018版、《仓储建筑设计防火标准》GB51251-2017）、《危险化学品储存通则》（GB15603）</w:t>
      </w:r>
      <w:r>
        <w:rPr>
          <w:rFonts w:hint="eastAsia" w:ascii="方正仿宋_GBK" w:hAnsi="方正仿宋_GBK" w:eastAsia="方正仿宋_GBK" w:cs="方正仿宋_GBK"/>
          <w:b w:val="0"/>
          <w:bCs w:val="0"/>
          <w:color w:val="auto"/>
          <w:kern w:val="2"/>
          <w:sz w:val="32"/>
          <w:szCs w:val="32"/>
          <w:lang w:val="en-US" w:eastAsia="zh-CN" w:bidi="ar-SA"/>
        </w:rPr>
        <w:t>。</w:t>
      </w:r>
    </w:p>
    <w:p w14:paraId="5B81E15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 xml:space="preserve">  2.B类重点消防地区（人员密集与居住集中区）总面积约 680 公顷：覆盖县城中心城区商住片区310公顷、居住小区220 公顷、中小学校45公顷、医院35公顷、惠远镇、大西沟镇等文旅景区70公顷等，管控要点：该区域人员密集、功能复合，严控消防车通道堵塞，完善老旧小区消防改造，配齐微型消防站与疏散指示标识，强化节假日人流密集场所防火管控畅通和消防设施完备。</w:t>
      </w:r>
    </w:p>
    <w:p w14:paraId="094E97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b/>
          <w:bCs/>
          <w:color w:val="auto"/>
          <w:kern w:val="2"/>
          <w:sz w:val="32"/>
          <w:szCs w:val="32"/>
          <w:lang w:val="en-US" w:eastAsia="zh-CN" w:bidi="ar-SA"/>
        </w:rPr>
      </w:pPr>
      <w:r>
        <w:rPr>
          <w:rFonts w:hint="eastAsia" w:ascii="方正仿宋_GBK" w:hAnsi="方正仿宋_GBK" w:eastAsia="方正仿宋_GBK" w:cs="方正仿宋_GBK"/>
          <w:b/>
          <w:bCs/>
          <w:color w:val="auto"/>
          <w:kern w:val="2"/>
          <w:sz w:val="32"/>
          <w:szCs w:val="32"/>
          <w:lang w:val="en-US" w:eastAsia="zh-CN" w:bidi="ar-SA"/>
        </w:rPr>
        <w:t>规范依据《城市消防规划规范B51080-2015》、《建筑设计防火规范》GB50016-2014、2018版、《住宅建筑规范》（GB50368）、《人员密集场所消防安全管理》（GA654）等。</w:t>
      </w:r>
    </w:p>
    <w:p w14:paraId="65E2022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3.C类重点消防地区（市政公用与交通枢纽区）：包括县城火车站、公路客运站、天然气站、加油（气）站、变</w:t>
      </w:r>
      <w:r>
        <w:rPr>
          <w:rFonts w:hint="eastAsia" w:ascii="方正仿宋_GBK" w:hAnsi="方正仿宋_GBK" w:eastAsia="方正仿宋_GBK" w:cs="方正仿宋_GBK"/>
          <w:b w:val="0"/>
          <w:bCs w:val="0"/>
          <w:color w:val="000000"/>
          <w:kern w:val="2"/>
          <w:sz w:val="32"/>
          <w:szCs w:val="32"/>
          <w:lang w:val="en-US" w:eastAsia="zh-CN" w:bidi="ar-SA"/>
        </w:rPr>
        <w:t>电站、伊宁机场迁建项目（图开机场）等市政基础设施和交通枢纽用地，总面积约793公顷。该区域关乎城市运行安全，需重点强化设施防火间距和应急处置能力。</w:t>
      </w:r>
    </w:p>
    <w:p w14:paraId="5A77747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4.D类重点消防地区（历史城区与历史文化街区）：</w:t>
      </w:r>
      <w:r>
        <w:rPr>
          <w:rFonts w:hint="eastAsia" w:ascii="方正仿宋_GBK" w:hAnsi="方正仿宋_GBK" w:eastAsia="方正仿宋_GBK" w:cs="方正仿宋_GBK"/>
          <w:b w:val="0"/>
          <w:bCs w:val="0"/>
          <w:color w:val="auto"/>
          <w:kern w:val="2"/>
          <w:sz w:val="32"/>
          <w:szCs w:val="32"/>
          <w:lang w:val="en-US" w:eastAsia="zh-CN" w:bidi="ar-SA"/>
        </w:rPr>
        <w:t>总面积约336公顷，包括惠远古城历史城区、历史文化街区（</w:t>
      </w:r>
      <w:r>
        <w:rPr>
          <w:rFonts w:hint="eastAsia" w:ascii="方正仿宋_GBK" w:hAnsi="方正仿宋_GBK" w:eastAsia="方正仿宋_GBK" w:cs="方正仿宋_GBK"/>
          <w:b w:val="0"/>
          <w:bCs w:val="0"/>
          <w:color w:val="000000"/>
          <w:kern w:val="2"/>
          <w:sz w:val="32"/>
          <w:szCs w:val="32"/>
          <w:lang w:val="en-US" w:eastAsia="zh-CN" w:bidi="ar-SA"/>
        </w:rPr>
        <w:t>如惠远镇老街区、大西沟镇传统村落）等保护区域。管控要点：坚持保护与防火并重，不得因增设消防设施而破坏历史风貌，应采用隐蔽化、小型化、景观化消防设备，重点加强木质结构建筑的防火阻燃处理，严格管控用火用电，推广安装独立式感烟报警器和简易喷淋装置，建立古城消防联防联控机制，整合景区管理、社区网格和微型消防站，定期开展针对性灭火演练和游客疏散培训。</w:t>
      </w:r>
    </w:p>
    <w:p w14:paraId="4E1FA6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auto"/>
          <w:kern w:val="2"/>
          <w:sz w:val="32"/>
          <w:szCs w:val="32"/>
          <w:lang w:val="en-US" w:eastAsia="zh-CN" w:bidi="ar-SA"/>
        </w:rPr>
      </w:pPr>
      <w:r>
        <w:rPr>
          <w:rFonts w:hint="eastAsia" w:ascii="方正仿宋_GBK" w:hAnsi="方正仿宋_GBK" w:eastAsia="方正仿宋_GBK" w:cs="方正仿宋_GBK"/>
          <w:b/>
          <w:bCs/>
          <w:color w:val="auto"/>
          <w:kern w:val="2"/>
          <w:sz w:val="32"/>
          <w:szCs w:val="32"/>
          <w:lang w:val="en-US" w:eastAsia="zh-CN" w:bidi="ar-SA"/>
        </w:rPr>
        <w:t>（二）防火隔离带及防灾避难疏散场地</w:t>
      </w:r>
    </w:p>
    <w:p w14:paraId="3ADBEF1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利用城市道路、学校操场、广场、城市公园、街头绿地、防护绿地等构建防火隔离带和防灾避难疏散场地，总面积约 68.21公顷。其中，县级避难场所10处（霍城县水定镇第一中学操场避难场所、霍城县水定镇初级中学操场避难场所、霍城县水定镇第一小学操场避难场所、霍城县水定镇新世纪广场避难场所、霍城县水定镇人民公园避难场所、香水公园、驼铃公园、霍城县水定镇世纪广场避难场所、霍城县水定镇太湖苑广场、霍城县兰干镇江苏中学操场避难场所），乡镇级避难场所12处，社区级避难场所 60处，确保人均避难面积不低于1.5平方米。</w:t>
      </w:r>
    </w:p>
    <w:p w14:paraId="05BBF2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auto"/>
          <w:kern w:val="2"/>
          <w:sz w:val="32"/>
          <w:szCs w:val="32"/>
          <w:lang w:val="en-US" w:eastAsia="zh-CN" w:bidi="ar-SA"/>
        </w:rPr>
      </w:pPr>
      <w:r>
        <w:rPr>
          <w:rFonts w:hint="eastAsia" w:ascii="方正仿宋_GBK" w:hAnsi="方正仿宋_GBK" w:eastAsia="方正仿宋_GBK" w:cs="方正仿宋_GBK"/>
          <w:b/>
          <w:bCs/>
          <w:color w:val="auto"/>
          <w:kern w:val="2"/>
          <w:sz w:val="32"/>
          <w:szCs w:val="32"/>
          <w:lang w:val="en-US" w:eastAsia="zh-CN" w:bidi="ar-SA"/>
        </w:rPr>
        <w:t>（三）一般消防地区</w:t>
      </w:r>
    </w:p>
    <w:p w14:paraId="65574E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城市规划建成区内除重点消防地区、防火隔离带及避难疏散场地以外的区域，面积约800公顷：主要包括一般居住用地360公顷、农业配套用地290公顷、生态控制区150公顷等，其中一般居住用地为城郊零散民居、乡镇散户住宅地块，农业配套用地包含农资仓储、种养配套用房、生态控制区为城郊林地、草场等生态防护用地。管控要点：按常规消防要求落实防控措施。</w:t>
      </w:r>
    </w:p>
    <w:p w14:paraId="2969A4B2">
      <w:pPr>
        <w:rPr>
          <w:rFonts w:hint="eastAsia"/>
          <w:lang w:val="en-US" w:eastAsia="zh-CN"/>
        </w:rPr>
      </w:pPr>
    </w:p>
    <w:p w14:paraId="27983EC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第三章 消防安全布局规划</w:t>
      </w:r>
    </w:p>
    <w:p w14:paraId="1FFDD2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lang w:val="en-US" w:eastAsia="zh-CN" w:bidi="ar-SA"/>
        </w:rPr>
      </w:pPr>
      <w:r>
        <w:rPr>
          <w:rFonts w:hint="eastAsia" w:ascii="方正黑体_GBK" w:hAnsi="方正黑体_GBK" w:eastAsia="方正黑体_GBK" w:cs="方正黑体_GBK"/>
          <w:b w:val="0"/>
          <w:bCs w:val="0"/>
          <w:color w:val="000000"/>
          <w:kern w:val="2"/>
          <w:sz w:val="32"/>
          <w:szCs w:val="32"/>
          <w:lang w:val="en-US" w:eastAsia="zh-CN" w:bidi="ar-SA"/>
        </w:rPr>
        <w:t>一、产业园区消防安全布局</w:t>
      </w:r>
    </w:p>
    <w:p w14:paraId="52F16B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1.工业用地布局：严格按照火灾危险等级划分产业功能分区，甲、乙类厂房与民用建筑之间的防火间距不小于25 米，距重要公共建筑不小于50米；丙、丁、戊类厂房与民用建筑之间的防火间距不小于10-18米。产业园区与居住区之间设置宽度不小于20米的绿化隔离带。</w:t>
      </w:r>
    </w:p>
    <w:p w14:paraId="24703F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仓储用地布局：火灾危险性较大的仓储用地布置在城市边缘交通便利地带，与周围建筑保持足够安全距离；甲类物品库房与民用建筑、明火或散发火花地点的防火间距不小于30米，乙、丙类库房按耐火等级执行相应防火间距标准。</w:t>
      </w:r>
    </w:p>
    <w:p w14:paraId="4C57385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3.消防设施要求：产业园区内设置环形消防车道，车道宽度不小于4米；按标准配置市政消火栓，间距不大于120 米；大型企业、重点化工企业应自建消防水池和消防泵房，配备专职消防力量。</w:t>
      </w:r>
    </w:p>
    <w:p w14:paraId="42BBF2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lang w:val="en-US" w:eastAsia="zh-CN" w:bidi="ar-SA"/>
        </w:rPr>
      </w:pPr>
      <w:r>
        <w:rPr>
          <w:rFonts w:hint="eastAsia" w:ascii="方正黑体_GBK" w:hAnsi="方正黑体_GBK" w:eastAsia="方正黑体_GBK" w:cs="方正黑体_GBK"/>
          <w:b w:val="0"/>
          <w:bCs w:val="0"/>
          <w:color w:val="000000"/>
          <w:kern w:val="2"/>
          <w:sz w:val="32"/>
          <w:szCs w:val="32"/>
          <w:lang w:val="en-US" w:eastAsia="zh-CN" w:bidi="ar-SA"/>
        </w:rPr>
        <w:t>二、居住用地消防安全布局</w:t>
      </w:r>
    </w:p>
    <w:p w14:paraId="487B9E5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低层、多层居住建筑：南北向平行布置的条式低层居住建筑，与相邻建筑北向间距不小于10米，山墙间距不小于6米，相邻两山墙有居室窗户、阳台或开门的不小于8米；旧城改造地段山墙无窗时，多层居住建筑山墙间距不小于6 米。</w:t>
      </w:r>
    </w:p>
    <w:p w14:paraId="6390D4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高层居住建筑：高层建筑周围设置环形消防车道，确有困难时沿两个长边设置；建筑沿街长度超过150米或总长度超过220米时，设置穿过建筑的消防车道；封闭内院或天井应设置连通街道的人行通道，距离不宜超过80米。</w:t>
      </w:r>
    </w:p>
    <w:p w14:paraId="6A0367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3.棚户区与老旧小区改造：统一规划道路系统，通道宽度不小于4米，转弯半径满足消防车通行要求；合理设置回车场和停车场，完善消防供水、供电设施，增设市政消火栓和简易自动灭火设施。</w:t>
      </w:r>
    </w:p>
    <w:p w14:paraId="616A3A7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4.非居住建筑与居住建筑间距：非居住建筑位于居住建筑侧面时，按消防间距控制，最小间距不小于6米；煤气调压站、换热站等小型市政公用设施用房与各类建筑的间距按国家规范执行。</w:t>
      </w:r>
    </w:p>
    <w:p w14:paraId="167C73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lang w:val="en-US" w:eastAsia="zh-CN" w:bidi="ar-SA"/>
        </w:rPr>
      </w:pPr>
      <w:r>
        <w:rPr>
          <w:rFonts w:hint="eastAsia" w:ascii="方正黑体_GBK" w:hAnsi="方正黑体_GBK" w:eastAsia="方正黑体_GBK" w:cs="方正黑体_GBK"/>
          <w:b w:val="0"/>
          <w:bCs w:val="0"/>
          <w:color w:val="000000"/>
          <w:kern w:val="2"/>
          <w:sz w:val="32"/>
          <w:szCs w:val="32"/>
          <w:lang w:val="en-US" w:eastAsia="zh-CN" w:bidi="ar-SA"/>
        </w:rPr>
        <w:t>三、公共服务与商业设施消防安全布局</w:t>
      </w:r>
    </w:p>
    <w:p w14:paraId="763783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用地布局：沿城市主要道路布置的公共建筑成组集中布置，人流量大的地段加宽人行道或建筑后退形成集散场地，商业中心可开辟步行街，避免人车混行；医院、学校、体育馆等人员密集建筑，后退道路红线距离不小于8米，设置集散广场。</w:t>
      </w:r>
    </w:p>
    <w:p w14:paraId="5526F36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消防要求：新建、改建、扩建的商业设施、文化娱乐设施等，严格执行消防技术规范，控制三级耐火等级建筑，严格限制四级耐火等级建筑；现有农贸市场、小商品市场等进行消防安全整治，整改不合格的予以搬迁或取缔；文物保护单位（水定镇陕西大寺、伊犁将军府等）配备完善消防设施，加强消防能力建设。</w:t>
      </w:r>
    </w:p>
    <w:p w14:paraId="1CB278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highlight w:val="none"/>
          <w:lang w:val="en-US" w:eastAsia="zh-CN" w:bidi="ar-SA"/>
        </w:rPr>
      </w:pPr>
      <w:r>
        <w:rPr>
          <w:rFonts w:hint="eastAsia" w:ascii="方正黑体_GBK" w:hAnsi="方正黑体_GBK" w:eastAsia="方正黑体_GBK" w:cs="方正黑体_GBK"/>
          <w:b w:val="0"/>
          <w:bCs w:val="0"/>
          <w:color w:val="000000"/>
          <w:kern w:val="2"/>
          <w:sz w:val="32"/>
          <w:szCs w:val="32"/>
          <w:highlight w:val="none"/>
          <w:lang w:val="en-US" w:eastAsia="zh-CN" w:bidi="ar-SA"/>
        </w:rPr>
        <w:t>四、易燃易爆设施消防安全布局</w:t>
      </w:r>
    </w:p>
    <w:p w14:paraId="6443AD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（一）规划范围与对象</w:t>
      </w:r>
    </w:p>
    <w:p w14:paraId="554729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方正仿宋_GBK" w:hAnsi="方正仿宋_GBK" w:eastAsia="方正仿宋_GBK" w:cs="方正仿宋_GBK"/>
          <w:sz w:val="32"/>
          <w:szCs w:val="32"/>
        </w:rPr>
        <w:t>本次规划（2026—2035年）应对城市建成区内已建及拟建的压气站、加气站、加油加气合建站等易燃易爆设施进行系统梳理与详细规划，明确各类设施的布局原则、选址要求及消防安全管控措施。</w:t>
      </w:r>
    </w:p>
    <w:p w14:paraId="6C4DAE8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加油（气）站：站址选择符合城市规划和防火安全要求，避开人流密集区和重要建筑物，不宜选在城市干道交叉口附近；城区内不新建一级加油站、一级液化石油气加气站和一级加油加气合建站；加油站与道路、建筑物、构筑物等的安全距离按《汽车加油加气加氢站设计标准》执行；油罐采用直埋式，推广密闭卸油装置。</w:t>
      </w:r>
    </w:p>
    <w:p w14:paraId="26B53C4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燃气设施：天然气门站、液化石油气储配站布置在用户集中的独立安全地带，与居住、医疗、教育、集会等建筑的防火间距不小于50米；储配站具备良好的消防供水条件；区域调压站设置在居民区街坊、绿化用地等安全地段，设围墙防护，采用地上式布置，确需地下式的采取可靠通风措施。</w:t>
      </w:r>
    </w:p>
    <w:p w14:paraId="2C327C8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rPr>
      </w:pPr>
      <w:r>
        <w:rPr>
          <w:rFonts w:hint="eastAsia" w:ascii="方正仿宋_GBK" w:hAnsi="方正仿宋_GBK" w:eastAsia="方正仿宋_GBK" w:cs="方正仿宋_GBK"/>
          <w:b w:val="0"/>
          <w:bCs w:val="0"/>
          <w:color w:val="000000"/>
          <w:kern w:val="2"/>
          <w:sz w:val="32"/>
          <w:szCs w:val="32"/>
          <w:lang w:val="en-US" w:eastAsia="zh-CN" w:bidi="ar-SA"/>
        </w:rPr>
        <w:t>3.危险品运输：为规范辖区危险化学品运输车辆通行秩序，压实道路危化品运输安全管控责任，有效防范化解道路运输安全风险，依据《危险化学品安全管理条例》《危险货物道路运输安全管理办法》及《霍城县城市总体规划》《霍城县消防安全专项规划》相关要求，结合霍城县城区路网现状及城市发展时序，对辖区危险化学品运输车辆实行分阶段、分区域、分时段差异化通行管控。</w:t>
      </w:r>
    </w:p>
    <w:p w14:paraId="6F8DA17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b/>
          <w:bCs/>
        </w:rPr>
      </w:pPr>
      <w:r>
        <w:rPr>
          <w:rFonts w:hint="eastAsia" w:ascii="方正仿宋_GBK" w:hAnsi="方正仿宋_GBK" w:eastAsia="方正仿宋_GBK" w:cs="方正仿宋_GBK"/>
          <w:b/>
          <w:bCs/>
          <w:sz w:val="32"/>
          <w:szCs w:val="32"/>
        </w:rPr>
        <w:t>（二）选址与布局原则</w:t>
      </w:r>
    </w:p>
    <w:p w14:paraId="5C07D5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选址</w:t>
      </w:r>
      <w:r>
        <w:rPr>
          <w:rFonts w:hint="eastAsia" w:ascii="方正仿宋_GBK" w:hAnsi="方正仿宋_GBK" w:eastAsia="方正仿宋_GBK" w:cs="方正仿宋_GBK"/>
          <w:sz w:val="32"/>
          <w:szCs w:val="32"/>
        </w:rPr>
        <w:t>要求</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汽车加油加气加氢站的站址选择应符合有关规划、环境保护和防火安全的要求，并应选在交通便利、用户使用方便的地点。</w:t>
      </w:r>
    </w:p>
    <w:p w14:paraId="2C733C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城市建成区管控要求</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城市建成区内的汽车加油加气加氢站宜靠近城市道路，但不宜选在城市干道的交叉路口附近。在城市中心区不应建一级汽车加油加气加氢站、CNG加气母站。城区内不宜建设一级加油站、一级加气站和一级加油加气合建站。</w:t>
      </w:r>
    </w:p>
    <w:p w14:paraId="14290C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3.安全间距控制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加油加气站内工艺设施与站外建（构）筑物的安全间距应严格按照《汽车加油加气加氢站技术标准》（GB50156-2021）的相关规定执行。其中，CNG加气站及各类合建站中的CNG工艺设备与站外建（构）筑物的安全间距不应小于表4.0.6的规定；LNG加气站及各类合建站中的LNG工艺设备与站外建（构）筑物的安全间距不应小于表4.0.7的规定。</w:t>
      </w:r>
    </w:p>
    <w:p w14:paraId="10261D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4.等级管控。城市建成区内不应建设压缩天然气加气母站及一级汽车加油站、加气站、加油加气合建站。</w:t>
      </w:r>
    </w:p>
    <w:p w14:paraId="5112DE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（三）规划实施要求</w:t>
      </w:r>
    </w:p>
    <w:p w14:paraId="7B021A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sz w:val="32"/>
          <w:szCs w:val="32"/>
        </w:rPr>
        <w:t>对现状已建但不符合消防安全布局要求的压气站、加气站、加油加气合建站，应通过原地规范改造、迁建或关闭等方式逐步整治，使新规划布局更为合理。新建项目应严格落实消防安全“三同时”制度，确保消防设施与主体工程同时设计、同时施工、同时投入使用。</w:t>
      </w:r>
    </w:p>
    <w:p w14:paraId="0A4D01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（四）近期管控（2026年—2030年）</w:t>
      </w:r>
    </w:p>
    <w:p w14:paraId="4783AA7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依据霍城县城区消防安全管控及道路交通管理要求，划定县城中心城区危化品运输严管禁行区域，对幸福路、水定路、环城路、朝阳路、团结路、北京西路、北京东路、上海南路、上海北路、团结路、光明路、瞻德街、南京路、无锡路、可克达拉路、江阴路、乌鲁木齐路合围的城市核心建成区实施全域禁行管控。严禁危险化学品运输车辆驶入该居住、商业、政务密集片区，从源头杜绝城区人员密集区域危化品道路运行风险，保障中心城区公共安全。</w:t>
      </w:r>
    </w:p>
    <w:p w14:paraId="2259BC6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（五）远期管控（2031年—2035年）</w:t>
      </w:r>
    </w:p>
    <w:p w14:paraId="67841A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结合霍城县城市拓展、城区扩容及远期安全布局规划，持续优化危化品运输通行体系，逐步退出城区腹地危化品通行权限。远期将城区禁行管控区域优化调整为县城外围主干环线，对滨河路、东环路、北环路、西环路、南环路合围片区实施全域禁行，全面疏导危化品运输车辆绕行城市外围干线，彻底实现“城外通行、城内禁行”，适配远期城市建设及安全管控发展需求。</w:t>
      </w:r>
    </w:p>
    <w:p w14:paraId="0C5022A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（六）通行时段及车辆管控标准</w:t>
      </w:r>
    </w:p>
    <w:p w14:paraId="292FE15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结合霍城县城区人流、车流规律及夜间管控要求，辖区经审批允许通行的危险化学品运输车辆，严格执行夜间限时通行制度，统一通行时段为每日0时至7时，全面避开日间交通高峰及人员活动密集时段，降低道路交汇风险。所有合规通行的危化品运输车辆，必须严格按照《道路运输危险货物车辆标志》（GB13392）规范悬挂、张贴醒目警示标识，配齐安全防护及应急处置器材，严格按照核定路线低速行驶，严禁超速、占道、违规变道，全程落实安全押运、动态管控制度，严守道路通行纪律。</w:t>
      </w:r>
    </w:p>
    <w:p w14:paraId="07A299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highlight w:val="none"/>
          <w:lang w:val="en-US" w:eastAsia="zh-CN" w:bidi="ar-SA"/>
        </w:rPr>
      </w:pPr>
      <w:r>
        <w:rPr>
          <w:rFonts w:hint="eastAsia" w:ascii="方正黑体_GBK" w:hAnsi="方正黑体_GBK" w:eastAsia="方正黑体_GBK" w:cs="方正黑体_GBK"/>
          <w:b w:val="0"/>
          <w:bCs w:val="0"/>
          <w:color w:val="000000"/>
          <w:kern w:val="2"/>
          <w:sz w:val="32"/>
          <w:szCs w:val="32"/>
          <w:highlight w:val="none"/>
          <w:lang w:val="en-US" w:eastAsia="zh-CN" w:bidi="ar-SA"/>
        </w:rPr>
        <w:t>五、消防通道布局</w:t>
      </w:r>
    </w:p>
    <w:p w14:paraId="72CADE02">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一级消防通道（属于市域级干线消防救援通道，依托国道、高速公路等跨区域干线公路布设，核心功能为满足城市全域快速出警、跨区域远距离增援、重大灾害联动调派，是全域消防救援的核心骨干通道。）：由 218国道、清伊高速公路、连霍高速公路等组成，满足城市消防出警快速和远距离增援需要。</w:t>
      </w:r>
    </w:p>
    <w:p w14:paraId="651D54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二级消防通道（属于城区片区联动主战通道，由城市主干道、次干道组成，主要承担城区各功能片区之间互联互通、救援兵力快速穿插、应急物资转运任务，保障城区常态化灭火救援、突发险情快速处置通行需求。）：由城市主、次干道组成，包括环城路、新荣路、西迪路、体育馆路、团结路、朝阳路、北京西路、北京东路、上海南路、上海北路、团结路、光明路等，保障片区之间消防救援通行。</w:t>
      </w:r>
    </w:p>
    <w:p w14:paraId="4AC63EC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三级消防通道瞻德街、南京路、无锡路、可克达拉路、江阴路、乌鲁木齐路（属于片区内部主干救援通道，由各片区内部主要支路构成，是单个片区消防救援的核心通行载体，主要用于深化辖区救援通达深度，保障片区内部火灾、突发事件快速就近处置。）</w:t>
      </w:r>
    </w:p>
    <w:p w14:paraId="22F6F83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 xml:space="preserve">4.四级消防通道开封路、人民路、新华路、水泥厂路、热力巷道、（属于末端末梢救援通道，由片区内部街坊路、巷道、小区内部微循环道路组成，承担消防救援“最后一公里”通行功能，引导消防车深入片区楼栋、院落、边角区域，硬性通行宽度不小于4米，实现全域无死角覆盖。）：城区老旧街巷、小区内部道路、村组街坊巷道等末梢微循环道路。 </w:t>
      </w:r>
    </w:p>
    <w:p w14:paraId="6105D30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5.特殊要求：尽端式消防通道设置不小于12 米 ×12米的回车场地，大型消防车使用的回车场地不小于18米×18米；消防车通道中心线间距不超过160米；严禁占用、堵塞消防通道，新建小区不得在消防车干道上设置路障。</w:t>
      </w:r>
    </w:p>
    <w:p w14:paraId="0607A0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依据《城市消防规划规范》（GB 51080-2015）、《建筑设计防火规范》（GB 50016-2014，2018版）</w:t>
      </w:r>
    </w:p>
    <w:p w14:paraId="0C2AE31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霍城县城乡建设与消防安全专项规划要求，辖区消防通道建设、场地设置及日常管控执行以下硬性标准：</w:t>
      </w:r>
    </w:p>
    <w:p w14:paraId="1B74CC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尽端式消防车道回车场地设置标准：辖区所有尽端式消防通道末端必须配套设置回车场地，普通消防车道回车场地尺寸不得小于12米×12米；专供大型、重型消防车辆通行作业的尽端通道，回车场地尺寸不得小于18米×18米，确保各类消防车辆可顺利回转、掉头，满足应急出动、撤离作业需求。</w:t>
      </w:r>
    </w:p>
    <w:p w14:paraId="48C6E2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rPr>
      </w:pPr>
      <w:r>
        <w:rPr>
          <w:rFonts w:hint="eastAsia" w:ascii="方正仿宋_GBK" w:hAnsi="方正仿宋_GBK" w:eastAsia="方正仿宋_GBK" w:cs="方正仿宋_GBK"/>
          <w:b w:val="0"/>
          <w:bCs w:val="0"/>
          <w:color w:val="000000"/>
          <w:kern w:val="2"/>
          <w:sz w:val="32"/>
          <w:szCs w:val="32"/>
          <w:lang w:val="en-US" w:eastAsia="zh-CN" w:bidi="ar-SA"/>
        </w:rPr>
        <w:t xml:space="preserve"> 2.消防车道布局间距要求：城区及片区消防车道布局科学统筹，消防车通道中心线最大间距严格控制在160米以内，保证辖区消防救援覆盖无盲区，缩短应急救援响应距离，提升全域救援通达效率。</w:t>
      </w:r>
    </w:p>
    <w:p w14:paraId="72ED3A2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消防车道的转弯半径要求：多层建筑：消防车道转弯半径不应小于9.0m。；高层建筑：消防车道转弯半径不应小于12.0m；高层民用建筑的消防车道转弯半径应不小于12米；超高层建筑（建筑高度超过100m）消防车道转弯半径不应小于18.0m。</w:t>
      </w:r>
    </w:p>
    <w:p w14:paraId="2987B8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通道常态化管控硬性要求：严格落实消防通道常态化管控机制，全域范围内严禁任何单位、个人占用、堵塞、封闭各级消防通道，严禁占道停车、堆物、违规搭建。新建住宅小区、商住片区、园区项目，严禁在消防主干通道上设置固定路障、隔离墩、限位设施等影响消防车通行的障碍物，确保消防通道时刻保持畅通、完好可用。</w:t>
      </w:r>
    </w:p>
    <w:p w14:paraId="0F5B9B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p>
    <w:p w14:paraId="239052C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第四章 消防站及消防装备规划</w:t>
      </w:r>
    </w:p>
    <w:p w14:paraId="675B18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lang w:val="en-US" w:eastAsia="zh-CN" w:bidi="ar-SA"/>
        </w:rPr>
      </w:pPr>
      <w:r>
        <w:rPr>
          <w:rFonts w:hint="eastAsia" w:ascii="方正黑体_GBK" w:hAnsi="方正黑体_GBK" w:eastAsia="方正黑体_GBK" w:cs="方正黑体_GBK"/>
          <w:b w:val="0"/>
          <w:bCs w:val="0"/>
          <w:color w:val="000000"/>
          <w:kern w:val="2"/>
          <w:sz w:val="32"/>
          <w:szCs w:val="32"/>
          <w:lang w:val="en-US" w:eastAsia="zh-CN" w:bidi="ar-SA"/>
        </w:rPr>
        <w:t>一、消防站设置与布局</w:t>
      </w:r>
    </w:p>
    <w:p w14:paraId="13A2F5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（一）设置级别与数量</w:t>
      </w:r>
    </w:p>
    <w:p w14:paraId="0559FBA6">
      <w:pPr>
        <w:keepNext w:val="0"/>
        <w:keepLines w:val="0"/>
        <w:pageBreakBefore w:val="0"/>
        <w:widowControl w:val="0"/>
        <w:numPr>
          <w:ilvl w:val="0"/>
          <w:numId w:val="0"/>
        </w:numPr>
        <w:suppressAutoHyphens/>
        <w:kinsoku/>
        <w:wordWrap w:val="0"/>
        <w:overflowPunct/>
        <w:topLinePunct/>
        <w:autoSpaceDE/>
        <w:autoSpaceDN/>
        <w:bidi w:val="0"/>
        <w:adjustRightInd/>
        <w:snapToGrid/>
        <w:spacing w:line="560" w:lineRule="exact"/>
        <w:ind w:firstLine="640" w:firstLineChars="200"/>
        <w:jc w:val="both"/>
        <w:textAlignment w:val="auto"/>
        <w:rPr>
          <w:rFonts w:hint="eastAsia"/>
          <w:lang w:val="en-US" w:eastAsia="zh-CN"/>
        </w:rPr>
      </w:pPr>
      <w:r>
        <w:rPr>
          <w:rFonts w:hint="eastAsia" w:ascii="方正仿宋_GBK" w:hAnsi="方正仿宋_GBK" w:eastAsia="方正仿宋_GBK" w:cs="方正仿宋_GBK"/>
          <w:b w:val="0"/>
          <w:bCs w:val="0"/>
          <w:color w:val="000000"/>
          <w:kern w:val="2"/>
          <w:sz w:val="32"/>
          <w:szCs w:val="32"/>
          <w:lang w:val="en-US" w:eastAsia="zh-CN" w:bidi="ar-SA"/>
        </w:rPr>
        <w:t>建设标准为</w:t>
      </w:r>
      <w:r>
        <w:rPr>
          <w:rFonts w:hint="eastAsia" w:ascii="方正仿宋_GBK" w:hAnsi="方正仿宋_GBK" w:eastAsia="方正仿宋_GBK" w:cs="方正仿宋_GBK"/>
          <w:b w:val="0"/>
          <w:bCs w:val="0"/>
          <w:color w:val="auto"/>
          <w:kern w:val="2"/>
          <w:sz w:val="32"/>
          <w:szCs w:val="32"/>
          <w:lang w:val="en-US" w:eastAsia="zh-CN" w:bidi="ar-SA"/>
        </w:rPr>
        <w:t>一级乡镇专职消防站，</w:t>
      </w:r>
      <w:r>
        <w:rPr>
          <w:rFonts w:hint="eastAsia" w:ascii="方正仿宋_GBK" w:hAnsi="方正仿宋_GBK" w:eastAsia="方正仿宋_GBK" w:cs="方正仿宋_GBK"/>
          <w:b w:val="0"/>
          <w:bCs w:val="0"/>
          <w:color w:val="000000"/>
          <w:kern w:val="2"/>
          <w:sz w:val="32"/>
          <w:szCs w:val="32"/>
          <w:lang w:val="en-US" w:eastAsia="zh-CN" w:bidi="ar-SA"/>
        </w:rPr>
        <w:t>服务惠远镇文旅融合中心及周边区域。</w:t>
      </w:r>
    </w:p>
    <w:p w14:paraId="59F1F69B">
      <w:pPr>
        <w:keepNext w:val="0"/>
        <w:keepLines w:val="0"/>
        <w:pageBreakBefore w:val="0"/>
        <w:widowControl w:val="0"/>
        <w:numPr>
          <w:ilvl w:val="0"/>
          <w:numId w:val="0"/>
        </w:numPr>
        <w:suppressAutoHyphens/>
        <w:kinsoku/>
        <w:wordWrap w:val="0"/>
        <w:overflowPunct/>
        <w:topLinePunct/>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一级乡镇专职消防站，建设面积600-700平方米，用地面积1000-1200平方米，配备3辆消防车，人员配备大于等于15人，消防站建筑耐火等级不低于二级，8度抗震构造同时站内设置必备的功能用房以及体能训练设施。</w:t>
      </w:r>
    </w:p>
    <w:p w14:paraId="1625A56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（二）消防站分年度建设时序</w:t>
      </w:r>
    </w:p>
    <w:p w14:paraId="7E83695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消防站基础设施改造</w:t>
      </w:r>
      <w:r>
        <w:rPr>
          <w:rFonts w:hint="eastAsia" w:ascii="方正仿宋_GBK" w:hAnsi="方正仿宋_GBK" w:eastAsia="方正仿宋_GBK" w:cs="方正仿宋_GBK"/>
          <w:b w:val="0"/>
          <w:bCs w:val="0"/>
          <w:color w:val="000000"/>
          <w:kern w:val="2"/>
          <w:sz w:val="32"/>
          <w:szCs w:val="32"/>
          <w:lang w:val="en-US" w:eastAsia="zh-CN" w:bidi="ar-SA"/>
        </w:rPr>
        <w:t>：</w:t>
      </w:r>
      <w:r>
        <w:rPr>
          <w:rFonts w:hint="eastAsia" w:ascii="方正仿宋_GBK" w:hAnsi="方正仿宋_GBK" w:eastAsia="方正仿宋_GBK" w:cs="方正仿宋_GBK"/>
          <w:sz w:val="32"/>
          <w:szCs w:val="32"/>
          <w:lang w:eastAsia="zh-CN"/>
        </w:rPr>
        <w:t>推进</w:t>
      </w:r>
      <w:r>
        <w:rPr>
          <w:rFonts w:hint="eastAsia" w:ascii="方正仿宋_GBK" w:hAnsi="方正仿宋_GBK" w:eastAsia="方正仿宋_GBK" w:cs="方正仿宋_GBK"/>
          <w:sz w:val="32"/>
          <w:szCs w:val="32"/>
        </w:rPr>
        <w:t>惠远镇消防站主体工程土建及基础场地建设</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val="0"/>
          <w:bCs w:val="0"/>
          <w:color w:val="000000"/>
          <w:kern w:val="2"/>
          <w:sz w:val="32"/>
          <w:szCs w:val="32"/>
          <w:lang w:val="en-US" w:eastAsia="zh-CN" w:bidi="ar-SA"/>
        </w:rPr>
        <w:t>完成项目选址、用地落实、施工图设计、土建施工、竣工验收，同步配齐营房、训练场地、车辆装备、执勤人员等。</w:t>
      </w:r>
    </w:p>
    <w:p w14:paraId="44AD44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eastAsia="zh-CN"/>
        </w:rPr>
        <w:t>消防</w:t>
      </w:r>
      <w:r>
        <w:rPr>
          <w:rFonts w:hint="eastAsia" w:ascii="方正仿宋_GBK" w:hAnsi="方正仿宋_GBK" w:eastAsia="方正仿宋_GBK" w:cs="方正仿宋_GBK"/>
          <w:color w:val="auto"/>
          <w:sz w:val="32"/>
          <w:szCs w:val="32"/>
        </w:rPr>
        <w:t>基础装备购置</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按</w:t>
      </w:r>
      <w:r>
        <w:rPr>
          <w:rFonts w:hint="eastAsia" w:ascii="方正仿宋_GBK" w:hAnsi="方正仿宋_GBK" w:eastAsia="方正仿宋_GBK" w:cs="方正仿宋_GBK"/>
          <w:color w:val="auto"/>
          <w:sz w:val="32"/>
          <w:szCs w:val="32"/>
          <w:lang w:eastAsia="zh-CN"/>
        </w:rPr>
        <w:t>一级乡镇专职消防站</w:t>
      </w:r>
      <w:r>
        <w:rPr>
          <w:rFonts w:hint="eastAsia" w:ascii="方正仿宋_GBK" w:hAnsi="方正仿宋_GBK" w:eastAsia="方正仿宋_GBK" w:cs="方正仿宋_GBK"/>
          <w:color w:val="auto"/>
          <w:sz w:val="32"/>
          <w:szCs w:val="32"/>
          <w:lang w:val="en-US" w:eastAsia="zh-CN"/>
        </w:rPr>
        <w:t>最低配置标准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，为惠远乡镇政府专职站配齐基础灭火救援车辆共3辆（</w:t>
      </w:r>
      <w:r>
        <w:rPr>
          <w:rFonts w:hint="eastAsia" w:ascii="方正仿宋_GBK" w:hAnsi="方正仿宋_GBK" w:eastAsia="方正仿宋_GBK" w:cs="方正仿宋_GBK"/>
          <w:color w:val="auto"/>
          <w:sz w:val="32"/>
          <w:szCs w:val="32"/>
        </w:rPr>
        <w:t>水罐</w:t>
      </w:r>
      <w:r>
        <w:rPr>
          <w:rFonts w:hint="eastAsia" w:ascii="方正仿宋_GBK" w:hAnsi="方正仿宋_GBK" w:eastAsia="方正仿宋_GBK" w:cs="方正仿宋_GBK"/>
          <w:color w:val="auto"/>
          <w:sz w:val="32"/>
          <w:szCs w:val="32"/>
          <w:lang w:eastAsia="zh-CN"/>
        </w:rPr>
        <w:t>消防</w:t>
      </w:r>
      <w:r>
        <w:rPr>
          <w:rFonts w:hint="eastAsia" w:ascii="方正仿宋_GBK" w:hAnsi="方正仿宋_GBK" w:eastAsia="方正仿宋_GBK" w:cs="方正仿宋_GBK"/>
          <w:color w:val="auto"/>
          <w:sz w:val="32"/>
          <w:szCs w:val="32"/>
        </w:rPr>
        <w:t>车2辆、</w:t>
      </w:r>
      <w:r>
        <w:rPr>
          <w:rFonts w:hint="eastAsia" w:ascii="方正仿宋_GBK" w:hAnsi="方正仿宋_GBK" w:eastAsia="方正仿宋_GBK" w:cs="方正仿宋_GBK"/>
          <w:color w:val="auto"/>
          <w:sz w:val="32"/>
          <w:szCs w:val="32"/>
          <w:lang w:val="en-US" w:eastAsia="zh-CN"/>
        </w:rPr>
        <w:t>其他灭火消防车或专勤消防车1辆）同时按标准配齐一线消防员个人防护装备及基础破拆、侦检器材。</w:t>
      </w:r>
    </w:p>
    <w:p w14:paraId="182B036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（三）责任区范围</w:t>
      </w:r>
    </w:p>
    <w:p w14:paraId="0983B59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惠远镇</w:t>
      </w:r>
      <w:r>
        <w:rPr>
          <w:rFonts w:hint="eastAsia" w:ascii="方正仿宋_GBK" w:hAnsi="方正仿宋_GBK" w:eastAsia="方正仿宋_GBK" w:cs="方正仿宋_GBK"/>
          <w:b w:val="0"/>
          <w:bCs w:val="0"/>
          <w:color w:val="auto"/>
          <w:kern w:val="2"/>
          <w:sz w:val="32"/>
          <w:szCs w:val="32"/>
          <w:lang w:val="en-US" w:eastAsia="zh-CN" w:bidi="ar-SA"/>
        </w:rPr>
        <w:t>一级乡镇专职消防站</w:t>
      </w:r>
      <w:r>
        <w:rPr>
          <w:rFonts w:hint="eastAsia" w:ascii="方正仿宋_GBK" w:hAnsi="方正仿宋_GBK" w:eastAsia="方正仿宋_GBK" w:cs="方正仿宋_GBK"/>
          <w:b w:val="0"/>
          <w:bCs w:val="0"/>
          <w:color w:val="000000"/>
          <w:kern w:val="2"/>
          <w:sz w:val="32"/>
          <w:szCs w:val="32"/>
          <w:lang w:val="en-US" w:eastAsia="zh-CN" w:bidi="ar-SA"/>
        </w:rPr>
        <w:t>：东至惠远镇镇区东界、西至三道河乡行政边界、南至伊犁河北岸沿线、北至218国道，覆盖惠远镇全域及毗邻沿线片区，责任区面积约7.8平方公里。</w:t>
      </w:r>
    </w:p>
    <w:p w14:paraId="6664F6F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highlight w:val="none"/>
          <w:lang w:val="en-US" w:eastAsia="zh-CN" w:bidi="ar-SA"/>
        </w:rPr>
      </w:pPr>
      <w:r>
        <w:rPr>
          <w:rFonts w:hint="eastAsia" w:ascii="方正黑体_GBK" w:hAnsi="方正黑体_GBK" w:eastAsia="方正黑体_GBK" w:cs="方正黑体_GBK"/>
          <w:b w:val="0"/>
          <w:bCs w:val="0"/>
          <w:color w:val="000000"/>
          <w:kern w:val="2"/>
          <w:sz w:val="32"/>
          <w:szCs w:val="32"/>
          <w:highlight w:val="none"/>
          <w:lang w:val="en-US" w:eastAsia="zh-CN" w:bidi="ar-SA"/>
        </w:rPr>
        <w:t>二、建设标准</w:t>
      </w:r>
    </w:p>
    <w:p w14:paraId="5A95C41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（一）消防站建设标准</w:t>
      </w:r>
      <w:r>
        <w:rPr>
          <w:rFonts w:hint="eastAsia" w:ascii="方正仿宋_GBK" w:hAnsi="方正仿宋_GBK" w:eastAsia="方正仿宋_GBK" w:cs="方正仿宋_GBK"/>
          <w:b w:val="0"/>
          <w:bCs w:val="0"/>
          <w:color w:val="000000"/>
          <w:kern w:val="2"/>
          <w:sz w:val="32"/>
          <w:szCs w:val="32"/>
          <w:lang w:val="en-US" w:eastAsia="zh-CN" w:bidi="ar-SA"/>
        </w:rPr>
        <w:t>：</w:t>
      </w:r>
    </w:p>
    <w:p w14:paraId="3CA329A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依据《乡镇专职消防队》(GB/T35547-2017)</w:t>
      </w:r>
    </w:p>
    <w:p w14:paraId="3F6B657E">
      <w:pPr>
        <w:keepNext w:val="0"/>
        <w:keepLines w:val="0"/>
        <w:pageBreakBefore w:val="0"/>
        <w:widowControl w:val="0"/>
        <w:numPr>
          <w:ilvl w:val="0"/>
          <w:numId w:val="0"/>
        </w:numPr>
        <w:suppressAutoHyphens/>
        <w:kinsoku/>
        <w:wordWrap w:val="0"/>
        <w:overflowPunct/>
        <w:topLinePunct/>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一级乡镇专职消防站，建设面积600-700平方米，用地面积1000-1200平方米，配备3辆消防车，人员配备大于等于15人，消防站建筑耐火等级不低于二级，8度抗震构造同时站内设置必备的功能用房以及体能训练设施。</w:t>
      </w:r>
    </w:p>
    <w:p w14:paraId="3279F2B6">
      <w:pPr>
        <w:keepNext w:val="0"/>
        <w:keepLines w:val="0"/>
        <w:pageBreakBefore w:val="0"/>
        <w:widowControl w:val="0"/>
        <w:numPr>
          <w:ilvl w:val="0"/>
          <w:numId w:val="0"/>
        </w:numPr>
        <w:suppressAutoHyphens/>
        <w:kinsoku/>
        <w:wordWrap w:val="0"/>
        <w:overflowPunct/>
        <w:topLinePunct/>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消防装备：</w:t>
      </w:r>
    </w:p>
    <w:p w14:paraId="7CF532D4">
      <w:pPr>
        <w:keepNext w:val="0"/>
        <w:keepLines w:val="0"/>
        <w:pageBreakBefore w:val="0"/>
        <w:widowControl w:val="0"/>
        <w:numPr>
          <w:ilvl w:val="0"/>
          <w:numId w:val="0"/>
        </w:numPr>
        <w:suppressAutoHyphens/>
        <w:kinsoku/>
        <w:wordWrap w:val="0"/>
        <w:overflowPunct/>
        <w:topLinePunct/>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一级乡镇专职消防站需要配备3辆消防车：水罐消防车2辆（载水量要求大于等于3吨，消防泵额定流量大于等于40L/s）、其他灭火消防车或专勤消防车1辆。</w:t>
      </w:r>
    </w:p>
    <w:p w14:paraId="443563DB">
      <w:pPr>
        <w:keepNext w:val="0"/>
        <w:keepLines w:val="0"/>
        <w:pageBreakBefore w:val="0"/>
        <w:widowControl w:val="0"/>
        <w:numPr>
          <w:ilvl w:val="0"/>
          <w:numId w:val="0"/>
        </w:numPr>
        <w:suppressAutoHyphens/>
        <w:kinsoku/>
        <w:wordWrap w:val="0"/>
        <w:overflowPunct/>
        <w:topLinePunct/>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同时需要配备随车器材、消防灭火器材、抢险救援器材、个人防护装备、通信装备等。</w:t>
      </w:r>
    </w:p>
    <w:p w14:paraId="24E071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黑体_GBK" w:hAnsi="方正黑体_GBK" w:eastAsia="方正黑体_GBK" w:cs="方正黑体_GBK"/>
          <w:b w:val="0"/>
          <w:bCs w:val="0"/>
          <w:color w:val="000000"/>
          <w:kern w:val="2"/>
          <w:sz w:val="32"/>
          <w:szCs w:val="32"/>
          <w:lang w:val="en-US" w:eastAsia="zh-CN" w:bidi="ar-SA"/>
        </w:rPr>
      </w:pPr>
      <w:r>
        <w:rPr>
          <w:rFonts w:hint="eastAsia" w:ascii="方正黑体_GBK" w:hAnsi="方正黑体_GBK" w:eastAsia="方正黑体_GBK" w:cs="方正黑体_GBK"/>
          <w:b w:val="0"/>
          <w:bCs w:val="0"/>
          <w:color w:val="000000"/>
          <w:kern w:val="2"/>
          <w:sz w:val="32"/>
          <w:szCs w:val="32"/>
          <w:lang w:val="en-US" w:eastAsia="zh-CN" w:bidi="ar-SA"/>
        </w:rPr>
        <w:t>三、</w:t>
      </w:r>
      <w:r>
        <w:rPr>
          <w:rFonts w:hint="eastAsia" w:ascii="方正黑体_GBK" w:hAnsi="方正黑体_GBK" w:eastAsia="方正黑体_GBK" w:cs="方正黑体_GBK"/>
          <w:b w:val="0"/>
          <w:bCs w:val="0"/>
          <w:color w:val="000000"/>
          <w:kern w:val="2"/>
          <w:sz w:val="32"/>
          <w:szCs w:val="32"/>
          <w:highlight w:val="none"/>
          <w:lang w:val="en-US" w:eastAsia="zh-CN" w:bidi="ar-SA"/>
        </w:rPr>
        <w:t>消防装备规划</w:t>
      </w:r>
    </w:p>
    <w:p w14:paraId="7D6494B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（一）消防车辆配备</w:t>
      </w:r>
    </w:p>
    <w:p w14:paraId="1114706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依据《城市消防站建设标准》（建标152-2017）和《</w:t>
      </w:r>
      <w:r>
        <w:rPr>
          <w:rFonts w:hint="eastAsia" w:ascii="方正仿宋_GBK" w:hAnsi="方正仿宋_GBK" w:eastAsia="方正仿宋_GBK" w:cs="方正仿宋_GBK"/>
          <w:b w:val="0"/>
          <w:bCs w:val="0"/>
          <w:color w:val="000000"/>
          <w:kern w:val="2"/>
          <w:sz w:val="32"/>
          <w:szCs w:val="32"/>
          <w:lang w:val="en-US" w:eastAsia="zh-CN" w:bidi="ar-SA"/>
        </w:rPr>
        <w:t>乡镇专职消防队</w:t>
      </w:r>
      <w:r>
        <w:rPr>
          <w:rFonts w:hint="eastAsia" w:ascii="方正仿宋_GBK" w:hAnsi="方正仿宋_GBK" w:eastAsia="方正仿宋_GBK" w:cs="方正仿宋_GBK"/>
          <w:b/>
          <w:bCs/>
          <w:color w:val="000000"/>
          <w:kern w:val="2"/>
          <w:sz w:val="32"/>
          <w:szCs w:val="32"/>
          <w:lang w:val="en-US" w:eastAsia="zh-CN" w:bidi="ar-SA"/>
        </w:rPr>
        <w:t>》</w:t>
      </w:r>
      <w:r>
        <w:rPr>
          <w:rFonts w:hint="eastAsia" w:ascii="方正仿宋_GBK" w:hAnsi="方正仿宋_GBK" w:eastAsia="方正仿宋_GBK" w:cs="方正仿宋_GBK"/>
          <w:b w:val="0"/>
          <w:bCs w:val="0"/>
          <w:color w:val="000000"/>
          <w:kern w:val="2"/>
          <w:sz w:val="32"/>
          <w:szCs w:val="32"/>
          <w:lang w:val="en-US" w:eastAsia="zh-CN" w:bidi="ar-SA"/>
        </w:rPr>
        <w:t>(GB/T35547-2017)</w:t>
      </w:r>
    </w:p>
    <w:p w14:paraId="26DF4DA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highlight w:val="none"/>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1.一级城市消防站：配备车辆总数 5～7辆，水罐消防车2辆、泡沫或泡沫干粉联用消防车1辆、举高消防车1辆、抢险救援消防车1 辆、通信指挥车1辆；以及消防车随车器材配备</w:t>
      </w:r>
    </w:p>
    <w:p w14:paraId="63C41C3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highlight w:val="none"/>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2.乡镇专职消防队：配备车辆总数，不少于2辆配备水罐消防车2辆（载水量不应小于1.5吨）、泡沫消防车1 辆、抢险救援消防车1辆以及消防车随车器材配备。</w:t>
      </w:r>
    </w:p>
    <w:p w14:paraId="118022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（二）灭火器材配备</w:t>
      </w:r>
    </w:p>
    <w:p w14:paraId="67DA33D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1.一级城市消防站：</w:t>
      </w:r>
      <w:r>
        <w:rPr>
          <w:rFonts w:hint="eastAsia" w:ascii="方正仿宋_GBK" w:hAnsi="方正仿宋_GBK" w:eastAsia="方正仿宋_GBK" w:cs="方正仿宋_GBK"/>
          <w:b w:val="0"/>
          <w:bCs w:val="0"/>
          <w:color w:val="000000"/>
          <w:kern w:val="2"/>
          <w:sz w:val="32"/>
          <w:szCs w:val="32"/>
          <w:lang w:val="en-US" w:eastAsia="zh-CN" w:bidi="ar-SA"/>
        </w:rPr>
        <w:t>机动消防泵：（含手抬泵、浮艇泵）2台；移动式消防炮：3个；A、B类比例混合器、泡沫液桶、空气泡沫枪： 2套：消火栓扳手、水枪、水带、分水器等常规器材工具按所配车辆技术标准足额配备。</w:t>
      </w:r>
    </w:p>
    <w:p w14:paraId="24DA958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2.乡镇专职消防队：</w:t>
      </w:r>
      <w:r>
        <w:rPr>
          <w:rFonts w:hint="eastAsia" w:ascii="方正仿宋_GBK" w:hAnsi="方正仿宋_GBK" w:eastAsia="方正仿宋_GBK" w:cs="方正仿宋_GBK"/>
          <w:b w:val="0"/>
          <w:bCs w:val="0"/>
          <w:color w:val="000000"/>
          <w:kern w:val="2"/>
          <w:sz w:val="32"/>
          <w:szCs w:val="32"/>
          <w:lang w:val="en-US" w:eastAsia="zh-CN" w:bidi="ar-SA"/>
        </w:rPr>
        <w:t>机动消防泵：（含手抬泵、浮艇泵）1台；移动式消防炮：1个；一套消火栓扳手、水枪、水带、分水器等常规器材工具按所配车辆技术标准足额配备。</w:t>
      </w:r>
    </w:p>
    <w:p w14:paraId="0615FE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（三）抢险救援器材配备</w:t>
      </w:r>
    </w:p>
    <w:p w14:paraId="46D3C1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1.一级城市消防站：</w:t>
      </w:r>
      <w:r>
        <w:rPr>
          <w:rFonts w:hint="eastAsia" w:ascii="方正仿宋_GBK" w:hAnsi="方正仿宋_GBK" w:eastAsia="方正仿宋_GBK" w:cs="方正仿宋_GBK"/>
          <w:b w:val="0"/>
          <w:bCs w:val="0"/>
          <w:color w:val="000000"/>
          <w:kern w:val="2"/>
          <w:sz w:val="32"/>
          <w:szCs w:val="32"/>
          <w:lang w:val="en-US" w:eastAsia="zh-CN" w:bidi="ar-SA"/>
        </w:rPr>
        <w:t>配备液压破拆组合器材、机动切割器具、无火花工具、起重气垫、堵漏抽吸器材、消防热像仪、消防排烟机、照明灯具、缓降器、登高工具等抢险救援器材，其中一级消防站增加化学侦检器材、生命探测器、医疗急救设备等专业装备。</w:t>
      </w:r>
    </w:p>
    <w:p w14:paraId="07767C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2.乡镇专职消防队：</w:t>
      </w:r>
      <w:r>
        <w:rPr>
          <w:rFonts w:hint="eastAsia" w:ascii="方正仿宋_GBK" w:hAnsi="方正仿宋_GBK" w:eastAsia="方正仿宋_GBK" w:cs="方正仿宋_GBK"/>
          <w:b w:val="0"/>
          <w:bCs w:val="0"/>
          <w:color w:val="000000"/>
          <w:kern w:val="2"/>
          <w:sz w:val="32"/>
          <w:szCs w:val="32"/>
          <w:lang w:val="en-US" w:eastAsia="zh-CN" w:bidi="ar-SA"/>
        </w:rPr>
        <w:t>手持扩音器、各类警示牌、闪光警示灯 2个、隔离警示带 5盘、液压破拆工具箱 1套、机动链锯1具、无齿锯 1具、绝缘剪断钳 2把、救生缓降器 2个、消防过滤式自救呼吸器 10具、救援支架 1组、医药急救箱 1个、两节拉梯 1架、消防专用救生衣 6件、外壳内充式救生圈 6个、气动起重气垫 1套。</w:t>
      </w:r>
    </w:p>
    <w:p w14:paraId="663BA5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（四）个人防护装备配备</w:t>
      </w:r>
    </w:p>
    <w:p w14:paraId="498304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1.一级城市消防站：</w:t>
      </w:r>
      <w:r>
        <w:rPr>
          <w:rFonts w:hint="eastAsia" w:ascii="方正仿宋_GBK" w:hAnsi="方正仿宋_GBK" w:eastAsia="方正仿宋_GBK" w:cs="方正仿宋_GBK"/>
          <w:b w:val="0"/>
          <w:bCs w:val="0"/>
          <w:color w:val="000000"/>
          <w:kern w:val="2"/>
          <w:sz w:val="32"/>
          <w:szCs w:val="32"/>
          <w:lang w:val="en-US" w:eastAsia="zh-CN" w:bidi="ar-SA"/>
        </w:rPr>
        <w:t>消防员每人配备消防头盔、消防战斗服、消防手套、消防靴、消防安全带、安全钩、救生绳、消防腰斧、方位灯、正压式空气呼吸器等基础防护装备；一级消防站消防员额外配备避火服、隔热服、轻型防化服、电绝缘服等专业防护装备，备份比例不低于 1:1。</w:t>
      </w:r>
    </w:p>
    <w:p w14:paraId="59B4ED2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2.乡镇专职消防队：</w:t>
      </w:r>
      <w:r>
        <w:rPr>
          <w:rFonts w:hint="eastAsia" w:ascii="方正仿宋_GBK" w:hAnsi="方正仿宋_GBK" w:eastAsia="方正仿宋_GBK" w:cs="方正仿宋_GBK"/>
          <w:b w:val="0"/>
          <w:bCs w:val="0"/>
          <w:color w:val="000000"/>
          <w:kern w:val="2"/>
          <w:sz w:val="32"/>
          <w:szCs w:val="32"/>
          <w:lang w:val="en-US" w:eastAsia="zh-CN" w:bidi="ar-SA"/>
        </w:rPr>
        <w:t>消防员每人配备消防头盔、消防战斗服、消防手套、消防靴、消防安全带、安全钩、救生绳、消防腰斧、方位灯、正压式空气呼吸器等基础防护装备；一级消防站消防员额外配备避火服、隔热服、轻型防化服、电绝缘服等专业防护装备，备份比例不低于 1:1。</w:t>
      </w:r>
    </w:p>
    <w:p w14:paraId="19B5C146">
      <w:pPr>
        <w:rPr>
          <w:rFonts w:hint="eastAsia"/>
          <w:lang w:val="en-US" w:eastAsia="zh-CN"/>
        </w:rPr>
      </w:pPr>
    </w:p>
    <w:p w14:paraId="289A2EEE">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第五章 消防给水规划</w:t>
      </w:r>
    </w:p>
    <w:p w14:paraId="33C970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一、消防水源规划</w:t>
      </w:r>
    </w:p>
    <w:p w14:paraId="062EA8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根据</w:t>
      </w:r>
      <w:r>
        <w:rPr>
          <w:rFonts w:hint="default" w:ascii="方正仿宋_GBK" w:hAnsi="方正仿宋_GBK" w:eastAsia="方正仿宋_GBK" w:cs="方正仿宋_GBK"/>
          <w:b w:val="0"/>
          <w:bCs w:val="0"/>
          <w:color w:val="000000"/>
          <w:kern w:val="2"/>
          <w:sz w:val="32"/>
          <w:szCs w:val="32"/>
          <w:lang w:val="en-US" w:eastAsia="zh-CN" w:bidi="ar-SA"/>
        </w:rPr>
        <w:t>消防水源消防给水及消火栓系统技术规范</w:t>
      </w:r>
      <w:r>
        <w:rPr>
          <w:rFonts w:hint="eastAsia" w:ascii="方正仿宋_GBK" w:hAnsi="方正仿宋_GBK" w:eastAsia="方正仿宋_GBK" w:cs="方正仿宋_GBK"/>
          <w:b w:val="0"/>
          <w:bCs w:val="0"/>
          <w:color w:val="000000"/>
          <w:kern w:val="2"/>
          <w:sz w:val="32"/>
          <w:szCs w:val="32"/>
          <w:lang w:val="en-US" w:eastAsia="zh-CN" w:bidi="ar-SA"/>
        </w:rPr>
        <w:t xml:space="preserve">  </w:t>
      </w:r>
      <w:r>
        <w:rPr>
          <w:rFonts w:hint="default" w:ascii="方正仿宋_GBK" w:hAnsi="方正仿宋_GBK" w:eastAsia="方正仿宋_GBK" w:cs="方正仿宋_GBK"/>
          <w:b w:val="0"/>
          <w:bCs w:val="0"/>
          <w:color w:val="000000"/>
          <w:kern w:val="2"/>
          <w:sz w:val="32"/>
          <w:szCs w:val="32"/>
          <w:lang w:val="en-US" w:eastAsia="zh-CN" w:bidi="ar-SA"/>
        </w:rPr>
        <w:t>（GB50974-2014）</w:t>
      </w:r>
      <w:r>
        <w:rPr>
          <w:rFonts w:hint="eastAsia" w:ascii="方正仿宋_GBK" w:hAnsi="方正仿宋_GBK" w:eastAsia="方正仿宋_GBK" w:cs="方正仿宋_GBK"/>
          <w:b w:val="0"/>
          <w:bCs w:val="0"/>
          <w:color w:val="000000"/>
          <w:kern w:val="2"/>
          <w:sz w:val="32"/>
          <w:szCs w:val="32"/>
          <w:lang w:val="en-US" w:eastAsia="zh-CN" w:bidi="ar-SA"/>
        </w:rPr>
        <w:t>：</w:t>
      </w:r>
    </w:p>
    <w:p w14:paraId="689BB65C">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default" w:ascii="方正仿宋_GBK" w:hAnsi="方正仿宋_GBK" w:eastAsia="方正仿宋_GBK" w:cs="方正仿宋_GBK"/>
          <w:b w:val="0"/>
          <w:bCs w:val="0"/>
          <w:color w:val="000000"/>
          <w:kern w:val="2"/>
          <w:sz w:val="32"/>
          <w:szCs w:val="32"/>
          <w:lang w:val="en-US" w:eastAsia="zh-CN" w:bidi="ar-SA"/>
        </w:rPr>
        <w:t>消防水源应采用市政给水、天然水源、消防水池；严寒地区天然水源应有可靠取水与破冰设施。</w:t>
      </w:r>
    </w:p>
    <w:p w14:paraId="7556D8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w:t>
      </w:r>
      <w:r>
        <w:rPr>
          <w:rFonts w:hint="default" w:ascii="方正仿宋_GBK" w:hAnsi="方正仿宋_GBK" w:eastAsia="方正仿宋_GBK" w:cs="方正仿宋_GBK"/>
          <w:b w:val="0"/>
          <w:bCs w:val="0"/>
          <w:color w:val="000000"/>
          <w:kern w:val="2"/>
          <w:sz w:val="32"/>
          <w:szCs w:val="32"/>
          <w:lang w:val="en-US" w:eastAsia="zh-CN" w:bidi="ar-SA"/>
        </w:rPr>
        <w:t>消防水源不得少于2路（主+备）；一路供水时必须设消防水池。</w:t>
      </w:r>
    </w:p>
    <w:p w14:paraId="727A461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w:t>
      </w:r>
      <w:r>
        <w:rPr>
          <w:rFonts w:hint="default" w:ascii="方正仿宋_GBK" w:hAnsi="方正仿宋_GBK" w:eastAsia="方正仿宋_GBK" w:cs="方正仿宋_GBK"/>
          <w:b w:val="0"/>
          <w:bCs w:val="0"/>
          <w:color w:val="000000"/>
          <w:kern w:val="2"/>
          <w:sz w:val="32"/>
          <w:szCs w:val="32"/>
          <w:lang w:val="en-US" w:eastAsia="zh-CN" w:bidi="ar-SA"/>
        </w:rPr>
        <w:t>消防水池有效容积按火灾延续时间计算，不小于500m³；严寒地区采用地下保温结构。</w:t>
      </w:r>
    </w:p>
    <w:p w14:paraId="3452082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w:t>
      </w:r>
      <w:r>
        <w:rPr>
          <w:rFonts w:hint="default" w:ascii="方正仿宋_GBK" w:hAnsi="方正仿宋_GBK" w:eastAsia="方正仿宋_GBK" w:cs="方正仿宋_GBK"/>
          <w:b w:val="0"/>
          <w:bCs w:val="0"/>
          <w:color w:val="000000"/>
          <w:kern w:val="2"/>
          <w:sz w:val="32"/>
          <w:szCs w:val="32"/>
          <w:lang w:val="en-US" w:eastAsia="zh-CN" w:bidi="ar-SA"/>
        </w:rPr>
        <w:t>消防水池补水时间≤48h；防冻、防渗漏、水位监测齐全。</w:t>
      </w:r>
    </w:p>
    <w:p w14:paraId="49A7512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5.</w:t>
      </w:r>
      <w:r>
        <w:rPr>
          <w:rFonts w:hint="default" w:ascii="方正仿宋_GBK" w:hAnsi="方正仿宋_GBK" w:eastAsia="方正仿宋_GBK" w:cs="方正仿宋_GBK"/>
          <w:b w:val="0"/>
          <w:bCs w:val="0"/>
          <w:color w:val="000000"/>
          <w:kern w:val="2"/>
          <w:sz w:val="32"/>
          <w:szCs w:val="32"/>
          <w:lang w:val="en-US" w:eastAsia="zh-CN" w:bidi="ar-SA"/>
        </w:rPr>
        <w:t>天然水源取水口水深≥1.5m；设取水平台、回车场、破冰设施、硬化道路。</w:t>
      </w:r>
    </w:p>
    <w:p w14:paraId="11E10B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w:t>
      </w:r>
      <w:r>
        <w:rPr>
          <w:rFonts w:hint="default" w:ascii="方正仿宋_GBK" w:hAnsi="方正仿宋_GBK" w:eastAsia="方正仿宋_GBK" w:cs="方正仿宋_GBK"/>
          <w:b w:val="0"/>
          <w:bCs w:val="0"/>
          <w:color w:val="000000"/>
          <w:kern w:val="2"/>
          <w:sz w:val="32"/>
          <w:szCs w:val="32"/>
          <w:lang w:val="en-US" w:eastAsia="zh-CN" w:bidi="ar-SA"/>
        </w:rPr>
        <w:t>公共水池：城区每5–10km²设1座，≥500m³，地下保温、防冻。</w:t>
      </w:r>
    </w:p>
    <w:p w14:paraId="08586D3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w:t>
      </w:r>
      <w:r>
        <w:rPr>
          <w:rFonts w:hint="default" w:ascii="方正仿宋_GBK" w:hAnsi="方正仿宋_GBK" w:eastAsia="方正仿宋_GBK" w:cs="方正仿宋_GBK"/>
          <w:b w:val="0"/>
          <w:bCs w:val="0"/>
          <w:color w:val="000000"/>
          <w:kern w:val="2"/>
          <w:sz w:val="32"/>
          <w:szCs w:val="32"/>
          <w:lang w:val="en-US" w:eastAsia="zh-CN" w:bidi="ar-SA"/>
        </w:rPr>
        <w:t>镇村水池：重点镇≥1000m³，一般镇≥500m³，村≥200m³。</w:t>
      </w:r>
    </w:p>
    <w:p w14:paraId="2D8F36D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w:t>
      </w:r>
      <w:r>
        <w:rPr>
          <w:rFonts w:hint="default" w:ascii="方正仿宋_GBK" w:hAnsi="方正仿宋_GBK" w:eastAsia="方正仿宋_GBK" w:cs="方正仿宋_GBK"/>
          <w:b w:val="0"/>
          <w:bCs w:val="0"/>
          <w:color w:val="000000"/>
          <w:kern w:val="2"/>
          <w:sz w:val="32"/>
          <w:szCs w:val="32"/>
          <w:lang w:val="en-US" w:eastAsia="zh-CN" w:bidi="ar-SA"/>
        </w:rPr>
        <w:t>天然水源：河流/水库设标准化取水点（破冰、回车场、硬化道路），枯水期水深≥1.5m。</w:t>
      </w:r>
    </w:p>
    <w:p w14:paraId="204ADC7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二、主要水源</w:t>
      </w:r>
    </w:p>
    <w:p w14:paraId="589BB83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default" w:ascii="方正仿宋_GBK" w:hAnsi="方正仿宋_GBK" w:eastAsia="方正仿宋_GBK" w:cs="方正仿宋_GBK"/>
          <w:b w:val="0"/>
          <w:bCs w:val="0"/>
          <w:color w:val="000000"/>
          <w:kern w:val="2"/>
          <w:sz w:val="32"/>
          <w:szCs w:val="32"/>
          <w:lang w:val="en-US" w:eastAsia="zh-CN" w:bidi="ar-SA"/>
        </w:rPr>
        <w:t>依托县</w:t>
      </w:r>
      <w:r>
        <w:rPr>
          <w:rFonts w:hint="eastAsia" w:ascii="方正仿宋_GBK" w:hAnsi="方正仿宋_GBK" w:eastAsia="方正仿宋_GBK" w:cs="方正仿宋_GBK"/>
          <w:b w:val="0"/>
          <w:bCs w:val="0"/>
          <w:color w:val="000000"/>
          <w:kern w:val="2"/>
          <w:sz w:val="32"/>
          <w:szCs w:val="32"/>
          <w:lang w:val="en-US" w:eastAsia="zh-CN" w:bidi="ar-SA"/>
        </w:rPr>
        <w:t>城</w:t>
      </w:r>
      <w:r>
        <w:rPr>
          <w:rFonts w:hint="default" w:ascii="方正仿宋_GBK" w:hAnsi="方正仿宋_GBK" w:eastAsia="方正仿宋_GBK" w:cs="方正仿宋_GBK"/>
          <w:b w:val="0"/>
          <w:bCs w:val="0"/>
          <w:color w:val="000000"/>
          <w:kern w:val="2"/>
          <w:sz w:val="32"/>
          <w:szCs w:val="32"/>
          <w:lang w:val="en-US" w:eastAsia="zh-CN" w:bidi="ar-SA"/>
        </w:rPr>
        <w:t>区域一体化供水工程，以地表水为主要消防水源，</w:t>
      </w:r>
      <w:r>
        <w:rPr>
          <w:rFonts w:hint="eastAsia" w:ascii="方正仿宋_GBK" w:hAnsi="方正仿宋_GBK" w:eastAsia="方正仿宋_GBK" w:cs="方正仿宋_GBK"/>
          <w:b w:val="0"/>
          <w:bCs w:val="0"/>
          <w:color w:val="000000"/>
          <w:kern w:val="2"/>
          <w:sz w:val="32"/>
          <w:szCs w:val="32"/>
          <w:lang w:val="en-US" w:eastAsia="zh-CN" w:bidi="ar-SA"/>
        </w:rPr>
        <w:t>覆盖水定镇、清水河镇等建成区，配建市政消火栓，保障城区日常消防供水。</w:t>
      </w:r>
    </w:p>
    <w:p w14:paraId="014492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三、</w:t>
      </w:r>
      <w:r>
        <w:rPr>
          <w:rFonts w:hint="default" w:ascii="方正仿宋_GBK" w:hAnsi="方正仿宋_GBK" w:eastAsia="方正仿宋_GBK" w:cs="方正仿宋_GBK"/>
          <w:b/>
          <w:bCs/>
          <w:color w:val="000000"/>
          <w:kern w:val="2"/>
          <w:sz w:val="32"/>
          <w:szCs w:val="32"/>
          <w:highlight w:val="none"/>
          <w:lang w:val="en-US" w:eastAsia="zh-CN" w:bidi="ar-SA"/>
        </w:rPr>
        <w:t>备用水源</w:t>
      </w:r>
    </w:p>
    <w:p w14:paraId="35546C2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 伊犁河沿线：惠远段、三道河段布设4处标准化防冻取水点，服务南部沿河乡镇。</w:t>
      </w:r>
    </w:p>
    <w:p w14:paraId="428125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 果子沟河沿线：结合地下水库工程布设2处取水点，覆盖果子沟牧场、大西沟镇片区。</w:t>
      </w:r>
    </w:p>
    <w:p w14:paraId="0221EE7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 萨尔布拉克河沿线：布设2处取水点，保障萨尔布拉克镇灌区及镇区应急供水。</w:t>
      </w:r>
    </w:p>
    <w:p w14:paraId="5DF270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 大西沟河沿线：布设2处取水点，服务山区乡镇及旅游片区。</w:t>
      </w:r>
    </w:p>
    <w:p w14:paraId="678B719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5. 霍城县麻杆沟水库：布设2处综合性标准化消防取水码头，作为片区大型应急备用水源。</w:t>
      </w:r>
    </w:p>
    <w:p w14:paraId="519A882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default" w:ascii="方正仿宋_GBK" w:hAnsi="方正仿宋_GBK" w:eastAsia="方正仿宋_GBK" w:cs="方正仿宋_GBK"/>
          <w:b w:val="0"/>
          <w:bCs w:val="0"/>
          <w:color w:val="000000"/>
          <w:kern w:val="2"/>
          <w:sz w:val="32"/>
          <w:szCs w:val="32"/>
          <w:lang w:val="en-US" w:eastAsia="zh-CN" w:bidi="ar-SA"/>
        </w:rPr>
        <w:t>取水口水深≥1.5m</w:t>
      </w:r>
      <w:r>
        <w:rPr>
          <w:rFonts w:hint="eastAsia" w:ascii="方正仿宋_GBK" w:hAnsi="方正仿宋_GBK" w:eastAsia="方正仿宋_GBK" w:cs="方正仿宋_GBK"/>
          <w:b w:val="0"/>
          <w:bCs w:val="0"/>
          <w:color w:val="000000"/>
          <w:kern w:val="2"/>
          <w:sz w:val="32"/>
          <w:szCs w:val="32"/>
          <w:lang w:val="en-US" w:eastAsia="zh-CN" w:bidi="ar-SA"/>
        </w:rPr>
        <w:t>，</w:t>
      </w:r>
      <w:r>
        <w:rPr>
          <w:rFonts w:hint="default" w:ascii="方正仿宋_GBK" w:hAnsi="方正仿宋_GBK" w:eastAsia="方正仿宋_GBK" w:cs="方正仿宋_GBK"/>
          <w:b w:val="0"/>
          <w:bCs w:val="0"/>
          <w:color w:val="000000"/>
          <w:kern w:val="2"/>
          <w:sz w:val="32"/>
          <w:szCs w:val="32"/>
          <w:lang w:val="en-US" w:eastAsia="zh-CN" w:bidi="ar-SA"/>
        </w:rPr>
        <w:t>设取水平台、回车场、破冰设施、硬化道路。</w:t>
      </w:r>
    </w:p>
    <w:p w14:paraId="692B0DE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 xml:space="preserve">  </w:t>
      </w:r>
      <w:r>
        <w:rPr>
          <w:rFonts w:hint="eastAsia" w:ascii="方正仿宋_GBK" w:hAnsi="方正仿宋_GBK" w:eastAsia="方正仿宋_GBK" w:cs="方正仿宋_GBK"/>
          <w:b/>
          <w:bCs/>
          <w:color w:val="000000"/>
          <w:kern w:val="2"/>
          <w:sz w:val="32"/>
          <w:szCs w:val="32"/>
          <w:lang w:val="en-US" w:eastAsia="zh-CN" w:bidi="ar-SA"/>
        </w:rPr>
        <w:t>四、</w:t>
      </w:r>
      <w:r>
        <w:rPr>
          <w:rFonts w:hint="default" w:ascii="方正仿宋_GBK" w:hAnsi="方正仿宋_GBK" w:eastAsia="方正仿宋_GBK" w:cs="方正仿宋_GBK"/>
          <w:b/>
          <w:bCs/>
          <w:color w:val="000000"/>
          <w:kern w:val="2"/>
          <w:sz w:val="32"/>
          <w:szCs w:val="32"/>
          <w:lang w:val="en-US" w:eastAsia="zh-CN" w:bidi="ar-SA"/>
        </w:rPr>
        <w:t>应急水源</w:t>
      </w:r>
      <w:r>
        <w:rPr>
          <w:rFonts w:hint="eastAsia" w:ascii="方正仿宋_GBK" w:hAnsi="方正仿宋_GBK" w:eastAsia="方正仿宋_GBK" w:cs="方正仿宋_GBK"/>
          <w:b/>
          <w:bCs/>
          <w:color w:val="000000"/>
          <w:kern w:val="2"/>
          <w:sz w:val="32"/>
          <w:szCs w:val="32"/>
          <w:lang w:val="en-US" w:eastAsia="zh-CN" w:bidi="ar-SA"/>
        </w:rPr>
        <w:t xml:space="preserve"> </w:t>
      </w:r>
    </w:p>
    <w:p w14:paraId="0C43103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default" w:ascii="方正仿宋_GBK" w:hAnsi="方正仿宋_GBK" w:eastAsia="方正仿宋_GBK" w:cs="方正仿宋_GBK"/>
          <w:b w:val="0"/>
          <w:bCs w:val="0"/>
          <w:color w:val="000000"/>
          <w:kern w:val="2"/>
          <w:sz w:val="32"/>
          <w:szCs w:val="32"/>
          <w:lang w:val="en-US" w:eastAsia="zh-CN" w:bidi="ar-SA"/>
        </w:rPr>
        <w:t>在市政给水管网薄弱区域、产业园区、大型居住区规划建设人工消防蓄水池</w:t>
      </w:r>
      <w:r>
        <w:rPr>
          <w:rFonts w:hint="eastAsia" w:ascii="方正仿宋_GBK" w:hAnsi="方正仿宋_GBK" w:eastAsia="方正仿宋_GBK" w:cs="方正仿宋_GBK"/>
          <w:b w:val="0"/>
          <w:bCs w:val="0"/>
          <w:color w:val="000000"/>
          <w:kern w:val="2"/>
          <w:sz w:val="32"/>
          <w:szCs w:val="32"/>
          <w:lang w:val="en-US" w:eastAsia="zh-CN" w:bidi="ar-SA"/>
        </w:rPr>
        <w:t>。</w:t>
      </w:r>
    </w:p>
    <w:p w14:paraId="606E81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1.水定镇新增1座消防水池，蓄水量</w:t>
      </w:r>
      <w:r>
        <w:rPr>
          <w:rFonts w:hint="default" w:ascii="方正仿宋_GBK" w:hAnsi="方正仿宋_GBK" w:eastAsia="方正仿宋_GBK" w:cs="方正仿宋_GBK"/>
          <w:b w:val="0"/>
          <w:bCs w:val="0"/>
          <w:color w:val="000000"/>
          <w:kern w:val="2"/>
          <w:sz w:val="32"/>
          <w:szCs w:val="32"/>
          <w:lang w:val="en-US" w:eastAsia="zh-CN" w:bidi="ar-SA"/>
        </w:rPr>
        <w:t>≥500m³</w:t>
      </w:r>
      <w:r>
        <w:rPr>
          <w:rFonts w:hint="eastAsia" w:ascii="方正仿宋_GBK" w:hAnsi="方正仿宋_GBK" w:eastAsia="方正仿宋_GBK" w:cs="方正仿宋_GBK"/>
          <w:b w:val="0"/>
          <w:bCs w:val="0"/>
          <w:color w:val="000000"/>
          <w:kern w:val="2"/>
          <w:sz w:val="32"/>
          <w:szCs w:val="32"/>
          <w:lang w:val="en-US" w:eastAsia="zh-CN" w:bidi="ar-SA"/>
        </w:rPr>
        <w:t>；清水河镇新增1座消防水池，蓄水量</w:t>
      </w:r>
      <w:r>
        <w:rPr>
          <w:rFonts w:hint="default" w:ascii="方正仿宋_GBK" w:hAnsi="方正仿宋_GBK" w:eastAsia="方正仿宋_GBK" w:cs="方正仿宋_GBK"/>
          <w:b w:val="0"/>
          <w:bCs w:val="0"/>
          <w:color w:val="000000"/>
          <w:kern w:val="2"/>
          <w:sz w:val="32"/>
          <w:szCs w:val="32"/>
          <w:lang w:val="en-US" w:eastAsia="zh-CN" w:bidi="ar-SA"/>
        </w:rPr>
        <w:t>≥500m³</w:t>
      </w:r>
      <w:r>
        <w:rPr>
          <w:rFonts w:hint="eastAsia" w:ascii="方正仿宋_GBK" w:hAnsi="方正仿宋_GBK" w:eastAsia="方正仿宋_GBK" w:cs="方正仿宋_GBK"/>
          <w:b w:val="0"/>
          <w:bCs w:val="0"/>
          <w:color w:val="000000"/>
          <w:kern w:val="2"/>
          <w:sz w:val="32"/>
          <w:szCs w:val="32"/>
          <w:lang w:val="en-US" w:eastAsia="zh-CN" w:bidi="ar-SA"/>
        </w:rPr>
        <w:t>。</w:t>
      </w:r>
    </w:p>
    <w:p w14:paraId="305277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2.惠远镇新增消防水池1座，蓄水量</w:t>
      </w:r>
      <w:r>
        <w:rPr>
          <w:rFonts w:hint="default" w:ascii="方正仿宋_GBK" w:hAnsi="方正仿宋_GBK" w:eastAsia="方正仿宋_GBK" w:cs="方正仿宋_GBK"/>
          <w:b w:val="0"/>
          <w:bCs w:val="0"/>
          <w:color w:val="000000"/>
          <w:kern w:val="2"/>
          <w:sz w:val="32"/>
          <w:szCs w:val="32"/>
          <w:lang w:val="en-US" w:eastAsia="zh-CN" w:bidi="ar-SA"/>
        </w:rPr>
        <w:t>≥</w:t>
      </w:r>
      <w:r>
        <w:rPr>
          <w:rFonts w:hint="eastAsia" w:ascii="方正仿宋_GBK" w:hAnsi="方正仿宋_GBK" w:eastAsia="方正仿宋_GBK" w:cs="方正仿宋_GBK"/>
          <w:b w:val="0"/>
          <w:bCs w:val="0"/>
          <w:color w:val="000000"/>
          <w:kern w:val="2"/>
          <w:sz w:val="32"/>
          <w:szCs w:val="32"/>
          <w:lang w:val="en-US" w:eastAsia="zh-CN" w:bidi="ar-SA"/>
        </w:rPr>
        <w:t>500</w:t>
      </w:r>
      <w:r>
        <w:rPr>
          <w:rFonts w:hint="default" w:ascii="方正仿宋_GBK" w:hAnsi="方正仿宋_GBK" w:eastAsia="方正仿宋_GBK" w:cs="方正仿宋_GBK"/>
          <w:b w:val="0"/>
          <w:bCs w:val="0"/>
          <w:color w:val="000000"/>
          <w:kern w:val="2"/>
          <w:sz w:val="32"/>
          <w:szCs w:val="32"/>
          <w:lang w:val="en-US" w:eastAsia="zh-CN" w:bidi="ar-SA"/>
        </w:rPr>
        <w:t>m³</w:t>
      </w:r>
      <w:r>
        <w:rPr>
          <w:rFonts w:hint="eastAsia" w:ascii="方正仿宋_GBK" w:hAnsi="方正仿宋_GBK" w:eastAsia="方正仿宋_GBK" w:cs="方正仿宋_GBK"/>
          <w:b w:val="0"/>
          <w:bCs w:val="0"/>
          <w:color w:val="000000"/>
          <w:kern w:val="2"/>
          <w:sz w:val="32"/>
          <w:szCs w:val="32"/>
          <w:lang w:val="en-US" w:eastAsia="zh-CN" w:bidi="ar-SA"/>
        </w:rPr>
        <w:t>。</w:t>
      </w:r>
    </w:p>
    <w:p w14:paraId="1B44B8E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3.芦草沟镇、萨尔布拉克镇、兰干镇、大西沟镇、三宫乡、三道河乡、良繁中心各新增消防水池1座，蓄水量</w:t>
      </w:r>
      <w:r>
        <w:rPr>
          <w:rFonts w:hint="default" w:ascii="方正仿宋_GBK" w:hAnsi="方正仿宋_GBK" w:eastAsia="方正仿宋_GBK" w:cs="方正仿宋_GBK"/>
          <w:b w:val="0"/>
          <w:bCs w:val="0"/>
          <w:color w:val="000000"/>
          <w:kern w:val="2"/>
          <w:sz w:val="32"/>
          <w:szCs w:val="32"/>
          <w:lang w:val="en-US" w:eastAsia="zh-CN" w:bidi="ar-SA"/>
        </w:rPr>
        <w:t>≥500m³</w:t>
      </w:r>
      <w:r>
        <w:rPr>
          <w:rFonts w:hint="eastAsia" w:ascii="方正仿宋_GBK" w:hAnsi="方正仿宋_GBK" w:eastAsia="方正仿宋_GBK" w:cs="方正仿宋_GBK"/>
          <w:b w:val="0"/>
          <w:bCs w:val="0"/>
          <w:color w:val="000000"/>
          <w:kern w:val="2"/>
          <w:sz w:val="32"/>
          <w:szCs w:val="32"/>
          <w:lang w:val="en-US" w:eastAsia="zh-CN" w:bidi="ar-SA"/>
        </w:rPr>
        <w:t>。</w:t>
      </w:r>
    </w:p>
    <w:p w14:paraId="334202F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4.乡镇下辖行政村均新增消防水池1座，蓄水量</w:t>
      </w:r>
      <w:r>
        <w:rPr>
          <w:rFonts w:hint="default" w:ascii="方正仿宋_GBK" w:hAnsi="方正仿宋_GBK" w:eastAsia="方正仿宋_GBK" w:cs="方正仿宋_GBK"/>
          <w:b w:val="0"/>
          <w:bCs w:val="0"/>
          <w:color w:val="000000"/>
          <w:kern w:val="2"/>
          <w:sz w:val="32"/>
          <w:szCs w:val="32"/>
          <w:lang w:val="en-US" w:eastAsia="zh-CN" w:bidi="ar-SA"/>
        </w:rPr>
        <w:t>≥200m³</w:t>
      </w:r>
      <w:r>
        <w:rPr>
          <w:rFonts w:hint="eastAsia" w:ascii="方正仿宋_GBK" w:hAnsi="方正仿宋_GBK" w:eastAsia="方正仿宋_GBK" w:cs="方正仿宋_GBK"/>
          <w:b w:val="0"/>
          <w:bCs w:val="0"/>
          <w:color w:val="000000"/>
          <w:kern w:val="2"/>
          <w:sz w:val="32"/>
          <w:szCs w:val="32"/>
          <w:lang w:val="en-US" w:eastAsia="zh-CN" w:bidi="ar-SA"/>
        </w:rPr>
        <w:t>。</w:t>
      </w:r>
    </w:p>
    <w:p w14:paraId="35BA0B1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5.</w:t>
      </w:r>
      <w:r>
        <w:rPr>
          <w:rFonts w:hint="default" w:ascii="方正仿宋_GBK" w:hAnsi="方正仿宋_GBK" w:eastAsia="方正仿宋_GBK" w:cs="方正仿宋_GBK"/>
          <w:b w:val="0"/>
          <w:bCs w:val="0"/>
          <w:color w:val="000000"/>
          <w:kern w:val="2"/>
          <w:sz w:val="32"/>
          <w:szCs w:val="32"/>
          <w:lang w:val="en-US" w:eastAsia="zh-CN" w:bidi="ar-SA"/>
        </w:rPr>
        <w:t>产业园区、大型企业</w:t>
      </w:r>
      <w:r>
        <w:rPr>
          <w:rFonts w:hint="eastAsia" w:ascii="方正仿宋_GBK" w:hAnsi="方正仿宋_GBK" w:eastAsia="方正仿宋_GBK" w:cs="方正仿宋_GBK"/>
          <w:b w:val="0"/>
          <w:bCs w:val="0"/>
          <w:color w:val="000000"/>
          <w:kern w:val="2"/>
          <w:sz w:val="32"/>
          <w:szCs w:val="32"/>
          <w:lang w:val="en-US" w:eastAsia="zh-CN" w:bidi="ar-SA"/>
        </w:rPr>
        <w:t>必须配套自建达标消防水池，设置独立应急供水系统，满足自身火灾持续供水需求。</w:t>
      </w:r>
    </w:p>
    <w:p w14:paraId="366793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五、消防用水量</w:t>
      </w:r>
    </w:p>
    <w:p w14:paraId="1C15727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1.城市消防用水量：中心城区同一时间内发生2次火灾，一次火灾灭火用水量为50L/s，灭火时间3 小时，消防用水量为 1080立方米/日；</w:t>
      </w:r>
    </w:p>
    <w:p w14:paraId="56B08E8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2.乡镇消防用水量：重点镇（清水河镇、惠远镇）同一时间内发生1次火灾，灭火用水量为35L/s，灭火时间2小时，消防用水量为252立方米/日；</w:t>
      </w:r>
    </w:p>
    <w:p w14:paraId="055B3EC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3.一般乡镇同一时间内发生 1次火灾，灭火用水量为25L/s，灭火时间2小时，消防用水量为180立方米/日。</w:t>
      </w:r>
    </w:p>
    <w:p w14:paraId="31095F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六、供水管网规划</w:t>
      </w:r>
    </w:p>
    <w:p w14:paraId="375AB94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1.管网布局：加快城区给水管道改造与建设，完善环状供水管网，管网普及率达到100%，提高消防供水安全性；</w:t>
      </w:r>
    </w:p>
    <w:p w14:paraId="79851E2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2.管道要求：市政消火栓配水管最小直径不小于150mm，最小供水压力不小于0.15MPa；消防用水管道采用较大流速和较小管径，兼顾经济性和安全供水；</w:t>
      </w:r>
    </w:p>
    <w:p w14:paraId="2D62591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3.乡镇供水管网：重点镇建设环状供水管网，一般乡镇建设树枝状供水管网，确保消防用水压力和流量满足要求。</w:t>
      </w:r>
    </w:p>
    <w:p w14:paraId="23CAEB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七、消火栓规划</w:t>
      </w:r>
    </w:p>
    <w:p w14:paraId="37C21A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1.配置数量：规划全县共设置市政消火栓1200个，其中中心城区500个，清水河镇200个，惠远镇150个，其他乡镇 350个；近期（2026-2030 年）新建 300个，远期（2031-2035 年）新建 600个，保留现状300个；布置要求：消火栓间距不大于120米，服务半径不大于150米；距十字路口50米范围内不宜设置，超过60米宽的道路两侧均设置；消火栓距道路边缘不超过2米，地下式消火栓距建筑物外墙不小于 5米，栓口直径为DN100mm 或两个DN65mm，设置明显标志（含夜光标志）；</w:t>
      </w:r>
    </w:p>
    <w:p w14:paraId="6C9380B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现状评估：一是部分老旧城区和早期建设道路沿线消火栓锈蚀严重、启闭困难、配件缺失，完好率偏低，无法满足灭火救援即时取水需求；二是早期建设的消火栓间距不符合现行《消防给水及消火栓系统技术规范》（GB50974-2014）要求，部分区域消火栓服务半径超过150米，存在供水盲区；三是少数乡镇及城乡结合部消火栓水压不足，管网管径偏小，消防供水可靠性较差；四是部分消火栓被埋压、圈占或缺少明显标志，影响火灾时快速定位和使用。</w:t>
      </w:r>
    </w:p>
    <w:p w14:paraId="569EF77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3.维护管理：规范市政消火栓建设、维护工作，建立健全消火栓管理制度，霍城县消防救援大队、自来水公司、市政管理部门明确责任分区，定期检查维护，确保完好率达到 100%。</w:t>
      </w:r>
    </w:p>
    <w:p w14:paraId="2E700D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五、消防水鹤规划</w:t>
      </w:r>
    </w:p>
    <w:p w14:paraId="008860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1.配置数量</w:t>
      </w:r>
    </w:p>
    <w:p w14:paraId="221E45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在城区主要道路交叉口、产业园区入口、消防水源薄弱区域规划设置消防水鹤15个，其中中心城区6个，清水河镇3个，惠远镇2个，其他重点区域4个，满足消防车快速补水需求。</w:t>
      </w:r>
    </w:p>
    <w:p w14:paraId="2FB612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2.选型标准</w:t>
      </w:r>
    </w:p>
    <w:p w14:paraId="379DE3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消防水鹤由地下部分（主控水阀、排放余水装置、启闭联动机构）和地上部分（引水导流管道和护套、消防水带接口、旋转机构、伸缩机构等）组成，具有可摆动、可伸缩、防冻、启闭快速等特点。选型应符合以下要求：</w:t>
      </w:r>
    </w:p>
    <w:p w14:paraId="4301C5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消防水鹤分类按进水口连接方式可分为承插式（C）和法兰式（F）；按额定工作压力可分为1.0MPa、1.6MPa。型号示例：SHFZJD-150/65-1.0表示出水口公称尺寸150mm、消防接口公称尺寸65mm、额定工作压力1.0MPa的法兰连接直通式监测型独立式消防水鹤。</w:t>
      </w:r>
    </w:p>
    <w:p w14:paraId="2BCDF0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消防水鹤地上部分高度不应小于4.0m，出水口距基座底部不应小于3.8m；出水口可摆动0～100度，可伸缩式水鹤伸缩长度不应小于300mm；启闭操纵应快速灵活，开启角度不应大于360°，出水口应能手动摆动；排放余水装置应在5min内排空水鹤余水。</w:t>
      </w:r>
    </w:p>
    <w:p w14:paraId="6CD161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3.消防水鹤具有良好的防冻性能，适用温度范围为-50℃至50℃；在公称压力下，连接部位及排放余水装置不得有渗漏现象。</w:t>
      </w:r>
    </w:p>
    <w:p w14:paraId="169349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3.供水能力要求</w:t>
      </w:r>
    </w:p>
    <w:p w14:paraId="1ED1467A">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依据《消防给水及消火栓系统技术规范》（GB50974-2014）第7.2.10条，火灾时消防水鹤的出流量不宜低于30L/s，且供水压力从地面算起不应小于0.10MPa。消防水鹤加水速度不低于0.6 m³/min。6吨消防车在消防水鹤上加满水仅需约3分钟，比普通室外消火栓加水速度显著提升。</w:t>
      </w:r>
    </w:p>
    <w:p w14:paraId="06E071B0">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4.管径设计参数与布置间距</w:t>
      </w:r>
    </w:p>
    <w:p w14:paraId="474F145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依据GB50974-2014第7.2.9条，连接消防水鹤的市政给水管的管径不宜小于DN200。消防水鹤安装适用于消防给水支管径不大于DN200、季节性冻土深度不大于2.6m的情况。严寒地区在城市主要干道上设置消防水鹤的布置间距宜为1000m。</w:t>
      </w:r>
    </w:p>
    <w:p w14:paraId="688C2B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规划在中心城区、清水河镇、惠远镇及其他重点区域共设置消防水鹤15个，具体布点应与市政给水管网建设相衔接，确保连接管径不小于DN200。消防水鹤作为市政消火栓的补充，主要服务于消防车快速补水需求，严寒地区应优先采用。</w:t>
      </w:r>
    </w:p>
    <w:p w14:paraId="3B77B3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第六章 消防供电与通信规划</w:t>
      </w:r>
    </w:p>
    <w:p w14:paraId="73162F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一、消防供电规划</w:t>
      </w:r>
    </w:p>
    <w:p w14:paraId="7DF0EE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（一）供电电源</w:t>
      </w:r>
    </w:p>
    <w:p w14:paraId="7703DD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1.保留现状霍城县110KV变电站并扩容，将35KV变电站升压为110KV变电站；消防指挥中心、消防站、供水厂、通信枢纽、医院等重要部门实行双电源供电；</w:t>
      </w:r>
    </w:p>
    <w:p w14:paraId="348EAEA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2.消防站专设供电专线，由电力部门优先保障供电可靠性，短期内难以实现双电源的，配备自备应急电源。</w:t>
      </w:r>
    </w:p>
    <w:p w14:paraId="376A6D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（二）供电要求</w:t>
      </w:r>
    </w:p>
    <w:p w14:paraId="383B56D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1.城市电网规划建设预留合理、安全的供电走廊，根据建（构）筑物用电负荷合理配置电压等级；</w:t>
      </w:r>
    </w:p>
    <w:p w14:paraId="1C98DB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严格按照《电力线路防护规程》控制保护高压线走廊和变电所，架空线路与加油站、油库、化工厂、储气罐的防火间距不小于1.5倍电杆（塔）高度，35千伏以上架空电力线与储气罐防火间距不小于40米，与油库不小于30米；</w:t>
      </w:r>
    </w:p>
    <w:p w14:paraId="2125CD5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3.消防用电设备采用单独的供电回路，配电线路穿金属管保护并采取防火措施；</w:t>
      </w:r>
    </w:p>
    <w:p w14:paraId="39B25B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4.及时更换老化、陈旧供电设施，避免线路老化引发火灾；镇区规划建成区10KV线路尽量直埋入地，减少火灾隐患。</w:t>
      </w:r>
    </w:p>
    <w:p w14:paraId="15CEA6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lang w:val="en-US" w:eastAsia="zh-CN"/>
        </w:rPr>
      </w:pPr>
      <w:r>
        <w:rPr>
          <w:rFonts w:hint="eastAsia" w:ascii="方正仿宋_GBK" w:hAnsi="方正仿宋_GBK" w:eastAsia="方正仿宋_GBK" w:cs="方正仿宋_GBK"/>
          <w:b w:val="0"/>
          <w:bCs w:val="0"/>
          <w:color w:val="000000"/>
          <w:kern w:val="2"/>
          <w:sz w:val="32"/>
          <w:szCs w:val="32"/>
          <w:lang w:val="en-US" w:eastAsia="zh-CN" w:bidi="ar-SA"/>
        </w:rPr>
        <w:t>（三）重点保护对象</w:t>
      </w:r>
    </w:p>
    <w:p w14:paraId="541CD8E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1.加强对供电设备、电器设备质量的消防监控，规范用</w:t>
      </w:r>
    </w:p>
    <w:p w14:paraId="579C2DA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电行为；</w:t>
      </w:r>
    </w:p>
    <w:p w14:paraId="319393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2.有计划对供电网络进行更新和技术改造，改善变压器和供电线路超负荷供电状况；</w:t>
      </w:r>
    </w:p>
    <w:p w14:paraId="6457DFB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3.变电所配备适当数量的手提式及推车式化学灭火器，建筑物耐火等级和间距符合消防设计要求。</w:t>
      </w:r>
    </w:p>
    <w:p w14:paraId="262E85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（四）消防用电负荷等级划分</w:t>
      </w:r>
    </w:p>
    <w:p w14:paraId="7442F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依据《建筑设计防火规范》（GB50016-2014，2018年版）第10.1.1条至第10.1.3条，霍城县消防用电负荷等级划分如下：</w:t>
      </w:r>
    </w:p>
    <w:p w14:paraId="63EB3F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一级负荷供电：消防指挥中心、消防站、供水厂、通信枢纽、医院等重要消防用电设备，应按一级负荷供电。其中消防指挥中心、消防通信枢纽等中断供电将造成重大损失的场所，应视为一级负荷中特别重要的负荷。</w:t>
      </w:r>
    </w:p>
    <w:p w14:paraId="4CB14D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（2）二级负荷供电：室外消防用水量大于30L/s的厂房（仓库）、二类高层民用建筑等，其消防用电应按二级负荷供电。</w:t>
      </w:r>
    </w:p>
    <w:p w14:paraId="066767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（3）三级负荷供电：除上述规定外的普通建筑、一般乡镇及农村地区消防用电，可按三级负荷供电。</w:t>
      </w:r>
    </w:p>
    <w:p w14:paraId="56C9B522">
      <w:pPr>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消防站选址与易燃易爆危险品场所风向关系</w:t>
      </w:r>
    </w:p>
    <w:p w14:paraId="70FF427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二、消防通信规划</w:t>
      </w:r>
    </w:p>
    <w:p w14:paraId="059BC0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（一）无线通信系统</w:t>
      </w:r>
    </w:p>
    <w:p w14:paraId="014BBD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1.建设消防无线通信 “三级组网”：一级网（城市规划区覆盖网），通信半径不小于30公里，保障消防指挥中心与消防通信指挥车、各消防站及消防车之间的通信联系；二级网（火场指挥网），通信半径不小于1公里，保障消防指挥员之间的通信联系；三级网（灭火战斗网），通信半径不小于0.5公里，保障战斗员、驾驶员之间的通信联系；</w:t>
      </w:r>
    </w:p>
    <w:p w14:paraId="3A8543F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2.结合消防站设置无线通信基站，基站发射功率覆盖整个责任区；</w:t>
      </w:r>
    </w:p>
    <w:p w14:paraId="4E5C520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3.配备无线通信设备，包括基地台、定向 / 全向天线系统、消防站固定台、车载台、便携台、袖珍台或头盔台等。</w:t>
      </w:r>
    </w:p>
    <w:p w14:paraId="6F5A25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（二）智慧消防通信</w:t>
      </w:r>
    </w:p>
    <w:p w14:paraId="1091485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1.建设消防信息综合管理子系统，整合交通、消防水源、建筑物、重点单位等基础数据，建立灭火作战方案数据库；</w:t>
      </w:r>
    </w:p>
    <w:p w14:paraId="739643E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2.配备火场图像传输装置、消防车辆动态管理装置及终端机，实现火场图像实时传输和消防车辆动态监控；</w:t>
      </w:r>
    </w:p>
    <w:p w14:paraId="721C91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3.开发消防站辖区快速报警平台，通过专用报警电话或互联网实现消防控制中心与消防站的实时联动。</w:t>
      </w:r>
    </w:p>
    <w:p w14:paraId="4DECB65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200" w:right="0" w:rightChars="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p>
    <w:p w14:paraId="5020D9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第七章 消防疏散与避难场所规划</w:t>
      </w:r>
    </w:p>
    <w:p w14:paraId="2B7212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一、疏散避难通道规划</w:t>
      </w:r>
    </w:p>
    <w:p w14:paraId="3AFB69A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1.以一级、二级消防通道为骨干，三级、四级消防通道为补充，构建“全域覆盖、互联互通”的疏散避难通道网；</w:t>
      </w:r>
    </w:p>
    <w:p w14:paraId="2A10A6C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一级（市域干线）：服务跨区域重大灾害增援，满足举高、重型消防车通行；依托国道高速，利用交叉口、服务区回转。</w:t>
      </w:r>
    </w:p>
    <w:p w14:paraId="78EBAD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二级（城区主战通道）：城市主次干道、产业园区环形消防车道，保障重型、举高消防车常态化通行，尽端配置18m×18m回车场。</w:t>
      </w:r>
    </w:p>
    <w:p w14:paraId="78C80D8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三级（片区内部支路）：服务片区就近处置，适配中型消防车，配套15m×15m回车场地。</w:t>
      </w:r>
    </w:p>
    <w:p w14:paraId="6D10FE4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四级（末梢巷道）：小区、老城、村组巷道，最小净宽4.0m；惠远古城等历史街区受条件限制无法达标的，不搞大拆大建，采取打通局部巷道、增设错车回转节点、配置小型消防车、加密微型消防站、增设技防设施的弹性补偿方案。</w:t>
      </w:r>
    </w:p>
    <w:p w14:paraId="1CE13F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2.中心城区疏散通道：依托主干路网络，（环城北路、新荣路、图开大道、朝阳路、滨河路、G218国道）确保人员快速疏散至县级避难场所；</w:t>
      </w:r>
    </w:p>
    <w:p w14:paraId="6605A49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3.乡镇疏散通道：以乡镇主干道为核心，连接村庄主要道路，确保村民疏散至乡镇级或社区级避难场所；</w:t>
      </w:r>
    </w:p>
    <w:p w14:paraId="2D0EC8D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4.疏散通道要求：紧急疏散避难场所设置不少于2条消防通道，宽度不小于4米；固定避难场所设置4条以上不同方向的疏散道路，宽度不小于8米；疏散通道两侧不得设置影响通行的障碍物，确保畅通。</w:t>
      </w:r>
    </w:p>
    <w:p w14:paraId="4FED829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5.消防车道：服务消防车，底线净宽、净高≥4.0m，各级通道在此基础上执行分级更高指标；</w:t>
      </w:r>
    </w:p>
    <w:p w14:paraId="71E520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6.人员疏散避难通道：仅服务人员撤离，执行避难疏散规范，不能作为消防车通行使用。</w:t>
      </w:r>
    </w:p>
    <w:p w14:paraId="720AAB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二、避难场所规划</w:t>
      </w:r>
    </w:p>
    <w:p w14:paraId="0E4C29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（一）分级分类</w:t>
      </w:r>
    </w:p>
    <w:p w14:paraId="3E9F7A55">
      <w:pPr>
        <w:keepNext w:val="0"/>
        <w:keepLines w:val="0"/>
        <w:pageBreakBefore w:val="0"/>
        <w:widowControl/>
        <w:suppressLineNumbers w:val="0"/>
        <w:kinsoku/>
        <w:wordWrap w:val="0"/>
        <w:overflowPunct/>
        <w:topLinePunct/>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1.县级避难场所：</w:t>
      </w:r>
      <w:r>
        <w:rPr>
          <w:rFonts w:hint="default" w:ascii="方正仿宋_GBK" w:hAnsi="方正仿宋_GBK" w:eastAsia="方正仿宋_GBK" w:cs="方正仿宋_GBK"/>
          <w:b w:val="0"/>
          <w:bCs w:val="0"/>
          <w:color w:val="000000"/>
          <w:kern w:val="2"/>
          <w:sz w:val="32"/>
          <w:szCs w:val="32"/>
          <w:lang w:val="en-US" w:eastAsia="zh-CN" w:bidi="ar-SA"/>
        </w:rPr>
        <w:t>10</w:t>
      </w:r>
      <w:r>
        <w:rPr>
          <w:rFonts w:hint="eastAsia" w:ascii="方正仿宋_GBK" w:hAnsi="方正仿宋_GBK" w:eastAsia="方正仿宋_GBK" w:cs="方正仿宋_GBK"/>
          <w:b w:val="0"/>
          <w:bCs w:val="0"/>
          <w:color w:val="000000"/>
          <w:kern w:val="2"/>
          <w:sz w:val="32"/>
          <w:szCs w:val="32"/>
          <w:lang w:val="en-US" w:eastAsia="zh-CN" w:bidi="ar-SA"/>
        </w:rPr>
        <w:t>处，分别为霍城县水定镇第一中学操场避难场所、霍城县水定镇初级中学操场避难场所、霍城县水定镇第一小学操场避难场所、霍城县水定镇新世纪广场避难场所、霍城县水定镇人民公园避难场所、香水公园、驼铃公园，霍城县水定镇世纪广场避难场所，霍城县水定镇太湖苑广场、霍城县兰干镇江苏中学操场避难场所。</w:t>
      </w:r>
    </w:p>
    <w:p w14:paraId="565AF2B0">
      <w:pPr>
        <w:keepNext w:val="0"/>
        <w:keepLines w:val="0"/>
        <w:pageBreakBefore w:val="0"/>
        <w:widowControl/>
        <w:suppressLineNumbers w:val="0"/>
        <w:kinsoku/>
        <w:wordWrap w:val="0"/>
        <w:overflowPunct/>
        <w:topLinePunct/>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根据DB65/T8030－2024《新疆应急避难场所建设技术标准》，有效避难面积大于等于２万公倾，可容纳人数大于等于5000人。避难场所应配备应急宿住区设施、医疗救护与卫生防疫设施、应急供水设施、应急排污系统、应急厕所、应急通道、应急标识以及应急辅助设施(如应急消防设施、应急通信广播、应急物资储备、应急指挥管理、应急供暖设施)</w:t>
      </w:r>
    </w:p>
    <w:p w14:paraId="7F3FE0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2.乡镇级避难场所：根据DB65/T8030-2024，《新疆应急避难场所建设技术标准》应当设置</w:t>
      </w:r>
      <w:r>
        <w:rPr>
          <w:rFonts w:hint="default" w:ascii="方正仿宋_GBK" w:hAnsi="方正仿宋_GBK" w:eastAsia="方正仿宋_GBK" w:cs="方正仿宋_GBK"/>
          <w:b w:val="0"/>
          <w:bCs w:val="0"/>
          <w:color w:val="000000"/>
          <w:kern w:val="2"/>
          <w:sz w:val="32"/>
          <w:szCs w:val="32"/>
          <w:lang w:val="en-US" w:eastAsia="zh-CN" w:bidi="ar-SA"/>
        </w:rPr>
        <w:t>1</w:t>
      </w:r>
      <w:r>
        <w:rPr>
          <w:rFonts w:hint="eastAsia" w:ascii="方正仿宋_GBK" w:hAnsi="方正仿宋_GBK" w:eastAsia="方正仿宋_GBK" w:cs="方正仿宋_GBK"/>
          <w:b w:val="0"/>
          <w:bCs w:val="0"/>
          <w:color w:val="000000"/>
          <w:kern w:val="2"/>
          <w:sz w:val="32"/>
          <w:szCs w:val="32"/>
          <w:lang w:val="en-US" w:eastAsia="zh-CN" w:bidi="ar-SA"/>
        </w:rPr>
        <w:t>2处，每个重点镇设置 2 处(水定镇、清水河镇、芦草沟镇)，一般乡镇设置 1 处</w:t>
      </w:r>
      <w:r>
        <w:rPr>
          <w:rFonts w:hint="default" w:ascii="方正仿宋_GBK" w:hAnsi="方正仿宋_GBK" w:eastAsia="方正仿宋_GBK" w:cs="方正仿宋_GBK"/>
          <w:b w:val="0"/>
          <w:bCs w:val="0"/>
          <w:color w:val="000000"/>
          <w:kern w:val="2"/>
          <w:sz w:val="32"/>
          <w:szCs w:val="32"/>
          <w:lang w:val="en-US" w:eastAsia="zh-CN" w:bidi="ar-SA"/>
        </w:rPr>
        <w:t>(</w:t>
      </w:r>
      <w:r>
        <w:rPr>
          <w:rFonts w:hint="eastAsia" w:ascii="方正仿宋_GBK" w:hAnsi="方正仿宋_GBK" w:eastAsia="方正仿宋_GBK" w:cs="方正仿宋_GBK"/>
          <w:b w:val="0"/>
          <w:bCs w:val="0"/>
          <w:color w:val="000000"/>
          <w:kern w:val="2"/>
          <w:sz w:val="32"/>
          <w:szCs w:val="32"/>
          <w:lang w:val="en-US" w:eastAsia="zh-CN" w:bidi="ar-SA"/>
        </w:rPr>
        <w:t>惠远、萨镇、兰干、大西沟、三道河、三宫、)一个乡镇至少设置一个乡镇级避难场所，有效避难面积大于等于0.8公顷，可容纳人数大于等于2000人,根据《乡村应急避难场所设计规范》，避难场所应配备、医疗救护与卫生防疫设施、应急供水、应急排污、应急厕所、应急通道、应急标识、应急照明、以及应急消防、应急物资等。</w:t>
      </w:r>
    </w:p>
    <w:p w14:paraId="338F74A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社区级避难场所：60处，一个村社区至少设置１个避难场所，根据DB65/T8030-2024，《新疆应急避难场所建设技术标准》，有效避难面积大于等于0.3公顷，可容纳人数大于等于200人。根据《乡村应急避难场所设计规范》，避难场所应配备、医疗救护与卫生防疫设施、应急供水、应急排污、应急厕所、应急通道、应急标识、应急照明、以及应急消防、应急物资等。</w:t>
      </w:r>
    </w:p>
    <w:p w14:paraId="79655C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（二）布局要求</w:t>
      </w:r>
    </w:p>
    <w:p w14:paraId="46461C0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1.避难场所选址避开地质灾害高易发区、洪涝风险区等危险区域，优先选择公园、绿地、广场、学校操场、体育场馆等开阔场地；</w:t>
      </w:r>
    </w:p>
    <w:p w14:paraId="1420CFA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2.避难场所与周边建筑物的防火间距不小于50米，内部设置防火隔离带；</w:t>
      </w:r>
    </w:p>
    <w:p w14:paraId="6A22024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3.避难场所内设置明显的避难标识和指示牌，与疏散通道形成完整的标识体系。</w:t>
      </w:r>
    </w:p>
    <w:p w14:paraId="2D0B962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200" w:right="0" w:rightChars="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p>
    <w:p w14:paraId="217FD9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第八章 消防与抗震、人防规划协调</w:t>
      </w:r>
    </w:p>
    <w:p w14:paraId="7E3DD2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一、抗震设防要求</w:t>
      </w:r>
    </w:p>
    <w:p w14:paraId="7063E8D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1.普通建筑抗震设防烈度为7度，消防指挥中心、消防站、医院、学校等重要建筑和生命线工程按8度设防；</w:t>
      </w:r>
    </w:p>
    <w:p w14:paraId="7208CDE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2.消防站建筑物按乙类建筑进行抗震设计，采取抗震构造措施，确保在地震灾害时能够正常发挥救灾功能；</w:t>
      </w:r>
    </w:p>
    <w:p w14:paraId="78B841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3.城市供水、供电、供气、通信、消防等生命线工程设施，按抗震人防要求和抢险救灾需要进行规划、设计和建设，提高抗震可靠性。</w:t>
      </w:r>
    </w:p>
    <w:p w14:paraId="25A134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二、人防工程消防要求</w:t>
      </w:r>
    </w:p>
    <w:p w14:paraId="3E5EC28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1.结合公共建筑建设的地下防空室，平时作为地下停车场或其他用途时，必须符合消防安全规定，建设相应的消防设施，制定安全保障措施；</w:t>
      </w:r>
    </w:p>
    <w:p w14:paraId="076AF99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2.重要的人防工程和地下空间设置消防水池、消火栓、自动报警系统、自动灭火系统等消防设施，配备应急照明和疏散指示标志；</w:t>
      </w:r>
    </w:p>
    <w:p w14:paraId="706543A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3.建立人防、消防战时通讯网联系，确保战时应急通信畅通。</w:t>
      </w:r>
    </w:p>
    <w:p w14:paraId="684ED9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三、防灾协同机制</w:t>
      </w:r>
    </w:p>
    <w:p w14:paraId="7E04E91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1.消防规划中的疏散场地同时作为震时、战时人员临时应急疏散场所，实现 “一场多用”；</w:t>
      </w:r>
    </w:p>
    <w:p w14:paraId="219749E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2.消防队伍与抗震、人防救援队伍建立协同联动机制，定期开展联合演练，提高协同处置能力；</w:t>
      </w:r>
    </w:p>
    <w:p w14:paraId="5C1945A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3.应急物资储备实行统筹规划、分储共享，在避难场所、消防站、人防工程等地点储备消防器材、急救药品、食品、饮用水等应急物资。</w:t>
      </w:r>
    </w:p>
    <w:p w14:paraId="524E5D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（四）林业部门森林消防队伍联动机制</w:t>
      </w:r>
    </w:p>
    <w:p w14:paraId="4F3CAB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sz w:val="32"/>
          <w:szCs w:val="32"/>
          <w:lang w:eastAsia="zh-CN"/>
        </w:rPr>
        <w:t>由政府主导，</w:t>
      </w:r>
      <w:r>
        <w:rPr>
          <w:rFonts w:hint="eastAsia" w:ascii="方正仿宋_GBK" w:hAnsi="方正仿宋_GBK" w:eastAsia="方正仿宋_GBK" w:cs="方正仿宋_GBK"/>
          <w:b w:val="0"/>
          <w:bCs w:val="0"/>
          <w:color w:val="000000"/>
          <w:kern w:val="2"/>
          <w:sz w:val="32"/>
          <w:szCs w:val="32"/>
          <w:lang w:val="en-US" w:eastAsia="zh-CN" w:bidi="ar-SA"/>
        </w:rPr>
        <w:t>霍城县消防救援大队</w:t>
      </w:r>
      <w:r>
        <w:rPr>
          <w:rFonts w:hint="eastAsia" w:ascii="方正仿宋_GBK" w:hAnsi="方正仿宋_GBK" w:eastAsia="方正仿宋_GBK" w:cs="方正仿宋_GBK"/>
          <w:sz w:val="32"/>
          <w:szCs w:val="32"/>
          <w:lang w:eastAsia="zh-CN"/>
        </w:rPr>
        <w:t>与国有林草部门、</w:t>
      </w:r>
      <w:r>
        <w:rPr>
          <w:rFonts w:hint="eastAsia" w:ascii="方正仿宋_GBK" w:hAnsi="方正仿宋_GBK" w:eastAsia="方正仿宋_GBK" w:cs="方正仿宋_GBK"/>
          <w:b w:val="0"/>
          <w:bCs w:val="0"/>
          <w:color w:val="000000"/>
          <w:kern w:val="2"/>
          <w:sz w:val="32"/>
          <w:szCs w:val="32"/>
          <w:lang w:val="en-US" w:eastAsia="zh-CN" w:bidi="ar-SA"/>
        </w:rPr>
        <w:t>县林业和草原局、</w:t>
      </w:r>
      <w:r>
        <w:rPr>
          <w:rFonts w:hint="eastAsia" w:ascii="方正仿宋_GBK" w:hAnsi="方正仿宋_GBK" w:eastAsia="方正仿宋_GBK" w:cs="方正仿宋_GBK"/>
          <w:sz w:val="32"/>
          <w:szCs w:val="32"/>
          <w:lang w:eastAsia="zh-CN"/>
        </w:rPr>
        <w:t>森林消防部门建立常态化联动机制。通过火情信息共享、联合巡护和装备共享，全面提升联防联控与应急处置能力。</w:t>
      </w:r>
    </w:p>
    <w:p w14:paraId="2C03C1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建立火情信息共享与联合预警机制，森林防火期内每日互通火险等级预报，遇极端天气即时通报；2.建立联合巡护与协同扑救机制，明确国家综合性消防救援队伍与森林消防专业队伍在火灾扑救中的力量编组和任务分工；3.建立联训联演机制，每半年至少开展一次森林草原灭火联合实战演练；4.建立装备资源共享机制，实现消防水罐车为火场供水、高喷消防车扑救陡峭山火等装备互补。</w:t>
      </w:r>
    </w:p>
    <w:p w14:paraId="6C0151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（五）牧区消防安全专项防控措施</w:t>
      </w:r>
    </w:p>
    <w:p w14:paraId="60C0AA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霍城县畜牧业较为发达，饲草料储存量大，牧区火灾具有以下特点：草料密集堆放缺乏防火分隔，易引发大面积燃烧；饲草晾晒后含水量低、极易燃烧；牲畜棚圈、草料房内电气线路敷设不规范易引燃饲草。霍城县各乡镇历史上曾因大风天气连续发生多起火灾，造成农牧民受灾和重大经济损失。针对牧区火灾特点，制定以下专项防控措施：</w:t>
      </w:r>
    </w:p>
    <w:p w14:paraId="06B5CA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 草料储存消防安全管理。饲草料堆垛应设置在相对独立的安全区域或村庄边缘，不应设置在电气线路下方；草垛与住宅、牲畜棚圈、电力线路的安全距离不应小于30米；村民院落内堆放的少量柴草、饲料等与建筑之间应采取防火隔离措施；饲草料库房应加强通风防潮，避免草料霉变发热引发自燃。</w:t>
      </w:r>
    </w:p>
    <w:p w14:paraId="77E339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 牧区电气与用火安全管理。牲畜棚圈、草料房内不得随意布设电线、安装电器，避免线路短路引燃饲草；牧区生产生活用火应远离草料堆垛，大风天气禁止明火作业。</w:t>
      </w:r>
    </w:p>
    <w:p w14:paraId="119810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 牧区消防基础设施建设。各乡镇应结合消防蓄水池建设，在牧业集中区、饲草料储备库周边设置专用消防水源和灭火器材配置点；重点牧业村应配备手抬机动泵、水带等初期火灾扑救装备。</w:t>
      </w:r>
    </w:p>
    <w:p w14:paraId="1DD280C6">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 xml:space="preserve"> </w:t>
      </w:r>
    </w:p>
    <w:p w14:paraId="2FC0CA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第九章 近期建设规划及投资估算</w:t>
      </w:r>
    </w:p>
    <w:p w14:paraId="281A19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方正仿宋_GBK" w:hAnsi="方正仿宋_GBK" w:eastAsia="方正仿宋_GBK" w:cs="方正仿宋_GBK"/>
          <w:b/>
          <w:bCs/>
          <w:color w:val="000000"/>
          <w:kern w:val="2"/>
          <w:sz w:val="32"/>
          <w:szCs w:val="32"/>
          <w:lang w:val="en-US" w:eastAsia="zh-CN" w:bidi="ar-SA"/>
        </w:rPr>
      </w:pPr>
      <w:r>
        <w:rPr>
          <w:rFonts w:hint="eastAsia" w:ascii="方正仿宋_GBK" w:hAnsi="方正仿宋_GBK" w:eastAsia="方正仿宋_GBK" w:cs="方正仿宋_GBK"/>
          <w:b/>
          <w:bCs/>
          <w:color w:val="000000"/>
          <w:kern w:val="2"/>
          <w:sz w:val="32"/>
          <w:szCs w:val="32"/>
          <w:lang w:val="en-US" w:eastAsia="zh-CN" w:bidi="ar-SA"/>
        </w:rPr>
        <w:t>一、近期建设重点（2026-2030 年）</w:t>
      </w:r>
    </w:p>
    <w:p w14:paraId="4AEE27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1.消防站建设：推进惠远镇一级政府专职消防站主体工程开工建设，完成营房主体、基础场地，车辆装备分批次配置。消防站站址选址应当充分结合区域常年主导风向。针对县域化工园区等易燃易爆危险品集中场所，消防站宜布置在易燃易爆场所常年主导风向的上风侧或者侧上风侧，禁止将消防站设置于易燃易爆危险源常年主导风向的下风侧，防范爆炸冲击波、泄漏的有毒烟气持续侵袭营区，保障执勤人员值守、出动安全。</w:t>
      </w:r>
    </w:p>
    <w:p w14:paraId="3B7A4B3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2消防给水建设：完成300座市政消火栓新建任务，优先覆盖中心城区、产业园区、惠远古城、人员密集场所；建成 4 处标准化天然消防取水点；重点建设水定镇、清水河镇 2 座≥300m³ 消防蓄水池，惠远镇 1 座≥100m³ 蓄水池；完成中心城区环状供水管网改造；乡镇水池优先建设重点镇，一般乡镇、行政村蓄水池做前期规划，土建主体优先，设备安装部分延后至远期。消火栓严格执行间距≤120m、服务半径≤150m 技术要求。</w:t>
      </w:r>
    </w:p>
    <w:p w14:paraId="6CB71AC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3.消防通道建设：打通中心城区断头路、拓宽老旧街巷，末端设置 12m×12m 回车场，确保四级末梢通道宽度不小于 4m；完成商业街区、集贸市场 2 处公共停车场建设，施划禁停标线，建立常态化通道管控，清理占道堵塞隐患；乡镇村组消防通道完成重点乡镇示范段改造，全面改造延后至远期。一级、二级、三级、四级消防通道体系框架形成。</w:t>
      </w:r>
    </w:p>
    <w:p w14:paraId="2512E13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4.消防通信建设：建成火场二级指挥网、三级灭火战斗网无线通信；完成消防指挥中心与消防站、重点单位、联动部门调度专线布设；完成智慧消防建设建设消防信息综合管理子系统。</w:t>
      </w:r>
    </w:p>
    <w:p w14:paraId="79C135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5.消防安全整治：开展产业园区、老旧小区、农贸市场、惠远古城等文旅景区重点区域消防安全专项整治，消除重大火灾隐患；重点单位完善火灾报警、基础消防设施；建立县级</w:t>
      </w:r>
      <w:r>
        <w:rPr>
          <w:rFonts w:hint="eastAsia" w:ascii="方正仿宋_GBK" w:hAnsi="方正仿宋_GBK" w:eastAsia="方正仿宋_GBK" w:cs="方正仿宋_GBK"/>
          <w:b w:val="0"/>
          <w:bCs w:val="0"/>
          <w:color w:val="000000"/>
          <w:kern w:val="2"/>
          <w:sz w:val="32"/>
          <w:szCs w:val="32"/>
          <w:lang w:val="en-US" w:eastAsia="zh-CN" w:bidi="ar-SA"/>
        </w:rPr>
        <w:noBreakHyphen/>
      </w:r>
      <w:r>
        <w:rPr>
          <w:rFonts w:hint="eastAsia" w:ascii="方正仿宋_GBK" w:hAnsi="方正仿宋_GBK" w:eastAsia="方正仿宋_GBK" w:cs="方正仿宋_GBK"/>
          <w:b w:val="0"/>
          <w:bCs w:val="0"/>
          <w:color w:val="000000"/>
          <w:kern w:val="2"/>
          <w:sz w:val="32"/>
          <w:szCs w:val="32"/>
          <w:lang w:val="en-US" w:eastAsia="zh-CN" w:bidi="ar-SA"/>
        </w:rPr>
        <w:t>乡镇</w:t>
      </w:r>
      <w:r>
        <w:rPr>
          <w:rFonts w:hint="eastAsia" w:ascii="方正仿宋_GBK" w:hAnsi="方正仿宋_GBK" w:eastAsia="方正仿宋_GBK" w:cs="方正仿宋_GBK"/>
          <w:b w:val="0"/>
          <w:bCs w:val="0"/>
          <w:color w:val="000000"/>
          <w:kern w:val="2"/>
          <w:sz w:val="32"/>
          <w:szCs w:val="32"/>
          <w:lang w:val="en-US" w:eastAsia="zh-CN" w:bidi="ar-SA"/>
        </w:rPr>
        <w:noBreakHyphen/>
      </w:r>
      <w:r>
        <w:rPr>
          <w:rFonts w:hint="eastAsia" w:ascii="方正仿宋_GBK" w:hAnsi="方正仿宋_GBK" w:eastAsia="方正仿宋_GBK" w:cs="方正仿宋_GBK"/>
          <w:b w:val="0"/>
          <w:bCs w:val="0"/>
          <w:color w:val="000000"/>
          <w:kern w:val="2"/>
          <w:sz w:val="32"/>
          <w:szCs w:val="32"/>
          <w:lang w:val="en-US" w:eastAsia="zh-CN" w:bidi="ar-SA"/>
        </w:rPr>
        <w:t>村社三级消防管理网络。</w:t>
      </w:r>
    </w:p>
    <w:p w14:paraId="0A030A1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6.基层消防能力建设：配齐乡镇专职消防队基础装备，建设部分村级微型消防站，配置手抬泵、水带、灭火器；建设简易消防宣传培训阵地，常态化开展演练宣传。</w:t>
      </w:r>
    </w:p>
    <w:p w14:paraId="3EAA6A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textAlignment w:val="auto"/>
        <w:rPr>
          <w:rFonts w:hint="eastAsia" w:ascii="方正仿宋_GBK" w:hAnsi="方正仿宋_GBK" w:eastAsia="方正仿宋_GBK" w:cs="方正仿宋_GBK"/>
          <w:b/>
          <w:bCs/>
          <w:color w:val="000000"/>
          <w:kern w:val="2"/>
          <w:sz w:val="32"/>
          <w:szCs w:val="32"/>
          <w:highlight w:val="none"/>
          <w:lang w:val="en-US" w:eastAsia="zh-CN" w:bidi="ar-SA"/>
        </w:rPr>
      </w:pPr>
      <w:r>
        <w:rPr>
          <w:rFonts w:hint="eastAsia" w:ascii="方正仿宋_GBK" w:hAnsi="方正仿宋_GBK" w:eastAsia="方正仿宋_GBK" w:cs="方正仿宋_GBK"/>
          <w:b/>
          <w:bCs/>
          <w:color w:val="000000"/>
          <w:kern w:val="2"/>
          <w:sz w:val="32"/>
          <w:szCs w:val="32"/>
          <w:highlight w:val="none"/>
          <w:lang w:val="en-US" w:eastAsia="zh-CN" w:bidi="ar-SA"/>
        </w:rPr>
        <w:t>二、投资估算</w:t>
      </w:r>
    </w:p>
    <w:p w14:paraId="1D1D68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color w:val="000000"/>
          <w:kern w:val="2"/>
          <w:sz w:val="32"/>
          <w:szCs w:val="32"/>
          <w:lang w:val="en-US" w:eastAsia="zh-CN" w:bidi="ar-SA"/>
        </w:rPr>
      </w:pPr>
      <w:r>
        <w:rPr>
          <w:rFonts w:hint="eastAsia" w:ascii="方正仿宋_GBK" w:hAnsi="方正仿宋_GBK" w:eastAsia="方正仿宋_GBK" w:cs="方正仿宋_GBK"/>
          <w:b w:val="0"/>
          <w:bCs w:val="0"/>
          <w:color w:val="000000"/>
          <w:kern w:val="2"/>
          <w:sz w:val="32"/>
          <w:szCs w:val="32"/>
          <w:lang w:val="en-US" w:eastAsia="zh-CN" w:bidi="ar-SA"/>
        </w:rPr>
        <w:t>近期（2026-2030年）消防设施总投资约1970元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004"/>
        <w:gridCol w:w="3486"/>
        <w:gridCol w:w="1008"/>
        <w:gridCol w:w="2324"/>
      </w:tblGrid>
      <w:tr w14:paraId="5BE0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14903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b/>
                <w:bCs/>
                <w:kern w:val="0"/>
                <w:sz w:val="24"/>
                <w:szCs w:val="24"/>
                <w:lang w:val="en-US" w:eastAsia="zh-CN" w:bidi="ar"/>
              </w:rPr>
              <w:t>序号</w:t>
            </w:r>
          </w:p>
        </w:tc>
        <w:tc>
          <w:tcPr>
            <w:tcW w:w="1012" w:type="dxa"/>
          </w:tcPr>
          <w:p w14:paraId="153A4E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b/>
                <w:bCs/>
                <w:kern w:val="0"/>
                <w:sz w:val="24"/>
                <w:szCs w:val="24"/>
                <w:lang w:val="en-US" w:eastAsia="zh-CN" w:bidi="ar"/>
              </w:rPr>
              <w:t>项目类别</w:t>
            </w:r>
          </w:p>
        </w:tc>
        <w:tc>
          <w:tcPr>
            <w:tcW w:w="3525" w:type="dxa"/>
          </w:tcPr>
          <w:p w14:paraId="35E490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b/>
                <w:bCs/>
                <w:kern w:val="0"/>
                <w:sz w:val="24"/>
                <w:szCs w:val="24"/>
                <w:lang w:val="en-US" w:eastAsia="zh-CN" w:bidi="ar"/>
              </w:rPr>
              <w:t>详细建设内容</w:t>
            </w:r>
          </w:p>
        </w:tc>
        <w:tc>
          <w:tcPr>
            <w:tcW w:w="1013" w:type="dxa"/>
          </w:tcPr>
          <w:p w14:paraId="710D1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b/>
                <w:bCs/>
                <w:kern w:val="0"/>
                <w:sz w:val="24"/>
                <w:szCs w:val="24"/>
                <w:lang w:val="en-US" w:eastAsia="zh-CN" w:bidi="ar"/>
              </w:rPr>
              <w:t>小计（万元）</w:t>
            </w:r>
          </w:p>
        </w:tc>
        <w:tc>
          <w:tcPr>
            <w:tcW w:w="2330" w:type="dxa"/>
          </w:tcPr>
          <w:p w14:paraId="07E5D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b/>
                <w:bCs/>
                <w:kern w:val="0"/>
                <w:sz w:val="24"/>
                <w:szCs w:val="24"/>
                <w:lang w:val="en-US" w:eastAsia="zh-CN" w:bidi="ar"/>
              </w:rPr>
              <w:t>备注</w:t>
            </w:r>
          </w:p>
        </w:tc>
      </w:tr>
      <w:tr w14:paraId="481D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10099C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color w:val="auto"/>
                <w:kern w:val="0"/>
                <w:sz w:val="32"/>
                <w:szCs w:val="32"/>
                <w:highlight w:val="none"/>
                <w:vertAlign w:val="baseline"/>
                <w:lang w:val="en-US" w:eastAsia="zh-CN" w:bidi="ar"/>
              </w:rPr>
              <w:t>一</w:t>
            </w:r>
          </w:p>
        </w:tc>
        <w:tc>
          <w:tcPr>
            <w:tcW w:w="1012" w:type="dxa"/>
          </w:tcPr>
          <w:p w14:paraId="504631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消防站</w:t>
            </w:r>
            <w:r>
              <w:rPr>
                <w:rFonts w:hint="eastAsia" w:ascii="宋体" w:hAnsi="宋体" w:cs="宋体"/>
                <w:kern w:val="0"/>
                <w:sz w:val="24"/>
                <w:szCs w:val="24"/>
                <w:lang w:val="en-US" w:eastAsia="zh-CN" w:bidi="ar"/>
              </w:rPr>
              <w:t>建设</w:t>
            </w:r>
          </w:p>
        </w:tc>
        <w:tc>
          <w:tcPr>
            <w:tcW w:w="3525" w:type="dxa"/>
          </w:tcPr>
          <w:p w14:paraId="18EB057D">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推进惠远镇一级政府专职消防站建成运行，填补该乡镇无独立消防站，增强区域救援能力</w:t>
            </w:r>
          </w:p>
          <w:p w14:paraId="4384C1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宋体" w:hAnsi="宋体" w:eastAsia="宋体" w:cs="宋体"/>
                <w:kern w:val="0"/>
                <w:sz w:val="24"/>
                <w:szCs w:val="24"/>
                <w:lang w:val="en-US" w:eastAsia="zh-CN" w:bidi="ar"/>
              </w:rPr>
            </w:pPr>
          </w:p>
        </w:tc>
        <w:tc>
          <w:tcPr>
            <w:tcW w:w="1013" w:type="dxa"/>
          </w:tcPr>
          <w:p w14:paraId="7F5702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约300万</w:t>
            </w:r>
          </w:p>
        </w:tc>
        <w:tc>
          <w:tcPr>
            <w:tcW w:w="2330" w:type="dxa"/>
          </w:tcPr>
          <w:p w14:paraId="7CB2F2D2">
            <w:pPr>
              <w:keepNext w:val="0"/>
              <w:keepLines w:val="0"/>
              <w:widowControl/>
              <w:suppressLineNumbers w:val="0"/>
              <w:jc w:val="left"/>
            </w:pPr>
            <w:r>
              <w:rPr>
                <w:rFonts w:ascii="宋体" w:hAnsi="宋体" w:eastAsia="宋体" w:cs="宋体"/>
                <w:kern w:val="0"/>
                <w:sz w:val="24"/>
                <w:szCs w:val="24"/>
                <w:lang w:val="en-US" w:eastAsia="zh-CN" w:bidi="ar"/>
              </w:rPr>
              <w:t>建筑耐火≥二级，8 度抗震设防，配齐全部功能用房</w:t>
            </w:r>
          </w:p>
          <w:p w14:paraId="5652C1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p>
        </w:tc>
      </w:tr>
      <w:tr w14:paraId="7A08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1673E2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color w:val="auto"/>
                <w:kern w:val="0"/>
                <w:sz w:val="32"/>
                <w:szCs w:val="32"/>
                <w:highlight w:val="none"/>
                <w:vertAlign w:val="baseline"/>
                <w:lang w:val="en-US" w:eastAsia="zh-CN" w:bidi="ar"/>
              </w:rPr>
              <w:t>二</w:t>
            </w:r>
          </w:p>
        </w:tc>
        <w:tc>
          <w:tcPr>
            <w:tcW w:w="1012" w:type="dxa"/>
          </w:tcPr>
          <w:p w14:paraId="257B6C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消防基础装备购置</w:t>
            </w:r>
          </w:p>
        </w:tc>
        <w:tc>
          <w:tcPr>
            <w:tcW w:w="3525" w:type="dxa"/>
          </w:tcPr>
          <w:p w14:paraId="11620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配齐基础灭火救援车辆共3辆（水罐消防车2辆、其他灭火消防车或专勤消防车1辆）同时按标准配齐一线消防员个人防护装备及基础破拆、侦检器材。</w:t>
            </w:r>
          </w:p>
          <w:p w14:paraId="0E635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p>
        </w:tc>
        <w:tc>
          <w:tcPr>
            <w:tcW w:w="1013" w:type="dxa"/>
          </w:tcPr>
          <w:p w14:paraId="57DD02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宋体" w:hAnsi="宋体" w:eastAsia="宋体" w:cs="宋体"/>
                <w:color w:val="auto"/>
                <w:kern w:val="0"/>
                <w:sz w:val="32"/>
                <w:szCs w:val="32"/>
                <w:highlight w:val="green"/>
                <w:vertAlign w:val="baseline"/>
                <w:lang w:val="en-US" w:eastAsia="zh-CN" w:bidi="ar"/>
              </w:rPr>
            </w:pPr>
            <w:r>
              <w:rPr>
                <w:rFonts w:hint="eastAsia" w:ascii="宋体" w:hAnsi="宋体" w:eastAsia="宋体" w:cs="宋体"/>
                <w:kern w:val="0"/>
                <w:sz w:val="24"/>
                <w:szCs w:val="24"/>
                <w:lang w:val="en-US" w:eastAsia="zh-CN" w:bidi="ar"/>
              </w:rPr>
              <w:t>约380万</w:t>
            </w:r>
          </w:p>
        </w:tc>
        <w:tc>
          <w:tcPr>
            <w:tcW w:w="2330" w:type="dxa"/>
          </w:tcPr>
          <w:p w14:paraId="28265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满足日常灭火救援刚需，不一次性采购全套特种高端装备</w:t>
            </w:r>
          </w:p>
        </w:tc>
      </w:tr>
      <w:tr w14:paraId="6C44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3A1F70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color w:val="auto"/>
                <w:kern w:val="0"/>
                <w:sz w:val="32"/>
                <w:szCs w:val="32"/>
                <w:highlight w:val="none"/>
                <w:vertAlign w:val="baseline"/>
                <w:lang w:val="en-US" w:eastAsia="zh-CN" w:bidi="ar"/>
              </w:rPr>
              <w:t>三</w:t>
            </w:r>
          </w:p>
        </w:tc>
        <w:tc>
          <w:tcPr>
            <w:tcW w:w="1012" w:type="dxa"/>
          </w:tcPr>
          <w:p w14:paraId="56ED6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ascii="宋体" w:hAnsi="宋体" w:eastAsia="宋体" w:cs="宋体"/>
                <w:kern w:val="0"/>
                <w:sz w:val="24"/>
                <w:szCs w:val="24"/>
                <w:highlight w:val="none"/>
                <w:lang w:val="en-US" w:eastAsia="zh-CN" w:bidi="ar"/>
              </w:rPr>
              <w:t>消防供水系统工程</w:t>
            </w:r>
          </w:p>
        </w:tc>
        <w:tc>
          <w:tcPr>
            <w:tcW w:w="3525" w:type="dxa"/>
          </w:tcPr>
          <w:p w14:paraId="43AFF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新建 300 座市政消火栓；中心城区环状管网改造；</w:t>
            </w:r>
            <w:r>
              <w:rPr>
                <w:rFonts w:ascii="宋体" w:hAnsi="宋体" w:eastAsia="宋体" w:cs="宋体"/>
                <w:kern w:val="0"/>
                <w:sz w:val="24"/>
                <w:szCs w:val="24"/>
                <w:highlight w:val="none"/>
                <w:lang w:val="en-US" w:eastAsia="zh-CN" w:bidi="ar"/>
              </w:rPr>
              <w:t>4</w:t>
            </w:r>
            <w:r>
              <w:rPr>
                <w:rFonts w:ascii="宋体" w:hAnsi="宋体" w:eastAsia="宋体" w:cs="宋体"/>
                <w:kern w:val="0"/>
                <w:sz w:val="24"/>
                <w:szCs w:val="24"/>
                <w:lang w:val="en-US" w:eastAsia="zh-CN" w:bidi="ar"/>
              </w:rPr>
              <w:t>处天然取水点；</w:t>
            </w:r>
            <w:r>
              <w:rPr>
                <w:rFonts w:hint="eastAsia" w:ascii="宋体" w:hAnsi="宋体" w:eastAsia="宋体" w:cs="宋体"/>
                <w:kern w:val="0"/>
                <w:sz w:val="24"/>
                <w:szCs w:val="24"/>
                <w:lang w:val="en-US" w:eastAsia="zh-CN" w:bidi="ar"/>
              </w:rPr>
              <w:t>新增5座消防水鹤</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水定镇、清水河镇、惠远镇重点消防蓄水池建设；乡镇水池前期及部分土建</w:t>
            </w:r>
            <w:r>
              <w:rPr>
                <w:rFonts w:hint="eastAsia" w:ascii="宋体" w:hAnsi="宋体" w:cs="宋体"/>
                <w:kern w:val="0"/>
                <w:sz w:val="24"/>
                <w:szCs w:val="24"/>
                <w:lang w:val="en-US" w:eastAsia="zh-CN" w:bidi="ar"/>
              </w:rPr>
              <w:t>。</w:t>
            </w:r>
          </w:p>
        </w:tc>
        <w:tc>
          <w:tcPr>
            <w:tcW w:w="1013" w:type="dxa"/>
          </w:tcPr>
          <w:p w14:paraId="25647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宋体" w:hAnsi="宋体" w:eastAsia="宋体" w:cs="宋体"/>
                <w:color w:val="auto"/>
                <w:kern w:val="0"/>
                <w:sz w:val="32"/>
                <w:szCs w:val="32"/>
                <w:highlight w:val="green"/>
                <w:vertAlign w:val="baseline"/>
                <w:lang w:val="en-US" w:eastAsia="zh-CN" w:bidi="ar"/>
              </w:rPr>
            </w:pPr>
            <w:r>
              <w:rPr>
                <w:rFonts w:hint="eastAsia" w:ascii="宋体" w:hAnsi="宋体" w:eastAsia="宋体" w:cs="宋体"/>
                <w:kern w:val="0"/>
                <w:sz w:val="24"/>
                <w:szCs w:val="24"/>
                <w:lang w:val="en-US" w:eastAsia="zh-CN" w:bidi="ar"/>
              </w:rPr>
              <w:t>约700万</w:t>
            </w:r>
          </w:p>
        </w:tc>
        <w:tc>
          <w:tcPr>
            <w:tcW w:w="2330" w:type="dxa"/>
          </w:tcPr>
          <w:p w14:paraId="431B7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严格执行 GB50974</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2014，防冻、水位监测配套到位；一般乡镇、村级蓄水池主要土建延后至远期</w:t>
            </w:r>
          </w:p>
        </w:tc>
      </w:tr>
      <w:tr w14:paraId="1447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2AA53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color w:val="auto"/>
                <w:kern w:val="0"/>
                <w:sz w:val="32"/>
                <w:szCs w:val="32"/>
                <w:highlight w:val="none"/>
                <w:vertAlign w:val="baseline"/>
                <w:lang w:val="en-US" w:eastAsia="zh-CN" w:bidi="ar"/>
              </w:rPr>
              <w:t>四</w:t>
            </w:r>
          </w:p>
        </w:tc>
        <w:tc>
          <w:tcPr>
            <w:tcW w:w="1012" w:type="dxa"/>
          </w:tcPr>
          <w:p w14:paraId="44B34B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ascii="宋体" w:hAnsi="宋体" w:eastAsia="宋体" w:cs="宋体"/>
                <w:kern w:val="0"/>
                <w:sz w:val="24"/>
                <w:szCs w:val="24"/>
                <w:highlight w:val="none"/>
                <w:lang w:val="en-US" w:eastAsia="zh-CN" w:bidi="ar"/>
              </w:rPr>
              <w:t>消防通道畅通工程</w:t>
            </w:r>
          </w:p>
        </w:tc>
        <w:tc>
          <w:tcPr>
            <w:tcW w:w="3525" w:type="dxa"/>
          </w:tcPr>
          <w:p w14:paraId="3B9E43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打通城区断头路、拓宽巷道、回车场建设；2处消防公共停车场、禁停标识、监控基础配套；重点乡镇示范消防通道改造</w:t>
            </w:r>
          </w:p>
        </w:tc>
        <w:tc>
          <w:tcPr>
            <w:tcW w:w="1013" w:type="dxa"/>
          </w:tcPr>
          <w:p w14:paraId="1B02AC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宋体" w:hAnsi="宋体" w:eastAsia="宋体" w:cs="宋体"/>
                <w:color w:val="auto"/>
                <w:kern w:val="0"/>
                <w:sz w:val="32"/>
                <w:szCs w:val="32"/>
                <w:highlight w:val="green"/>
                <w:vertAlign w:val="baseline"/>
                <w:lang w:val="en-US" w:eastAsia="zh-CN" w:bidi="ar"/>
              </w:rPr>
            </w:pPr>
            <w:r>
              <w:rPr>
                <w:rFonts w:hint="eastAsia" w:ascii="宋体" w:hAnsi="宋体" w:eastAsia="宋体" w:cs="宋体"/>
                <w:kern w:val="0"/>
                <w:sz w:val="24"/>
                <w:szCs w:val="24"/>
                <w:lang w:val="en-US" w:eastAsia="zh-CN" w:bidi="ar"/>
              </w:rPr>
              <w:t>约</w:t>
            </w:r>
            <w:r>
              <w:rPr>
                <w:rFonts w:ascii="宋体" w:hAnsi="宋体" w:eastAsia="宋体" w:cs="宋体"/>
                <w:kern w:val="0"/>
                <w:sz w:val="24"/>
                <w:szCs w:val="24"/>
                <w:lang w:val="en-US" w:eastAsia="zh-CN" w:bidi="ar"/>
              </w:rPr>
              <w:t>4</w:t>
            </w:r>
            <w:r>
              <w:rPr>
                <w:rFonts w:hint="eastAsia" w:ascii="宋体" w:hAnsi="宋体" w:cs="宋体"/>
                <w:kern w:val="0"/>
                <w:sz w:val="24"/>
                <w:szCs w:val="24"/>
                <w:lang w:val="en-US" w:eastAsia="zh-CN" w:bidi="ar"/>
              </w:rPr>
              <w:t>00万</w:t>
            </w:r>
          </w:p>
        </w:tc>
        <w:tc>
          <w:tcPr>
            <w:tcW w:w="2330" w:type="dxa"/>
          </w:tcPr>
          <w:p w14:paraId="26172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通道净宽≥4m，尽端回车场 12m×12m，大型消防车回车场预留用地</w:t>
            </w:r>
          </w:p>
        </w:tc>
      </w:tr>
      <w:tr w14:paraId="2F6F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6BA9C6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color w:val="auto"/>
                <w:kern w:val="0"/>
                <w:sz w:val="32"/>
                <w:szCs w:val="32"/>
                <w:highlight w:val="none"/>
                <w:vertAlign w:val="baseline"/>
                <w:lang w:val="en-US" w:eastAsia="zh-CN" w:bidi="ar"/>
              </w:rPr>
              <w:t>五</w:t>
            </w:r>
          </w:p>
        </w:tc>
        <w:tc>
          <w:tcPr>
            <w:tcW w:w="1012" w:type="dxa"/>
          </w:tcPr>
          <w:p w14:paraId="186630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kern w:val="0"/>
                <w:sz w:val="24"/>
                <w:szCs w:val="24"/>
                <w:highlight w:val="none"/>
                <w:lang w:val="en-US" w:eastAsia="zh-CN" w:bidi="ar"/>
              </w:rPr>
              <w:t>消防通信建设</w:t>
            </w:r>
          </w:p>
        </w:tc>
        <w:tc>
          <w:tcPr>
            <w:tcW w:w="3525" w:type="dxa"/>
          </w:tcPr>
          <w:p w14:paraId="4F2A2F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建设消防无线通信 “三级组网”：建成火场二级指挥网、三级灭火战斗网无线通信；完成消防指挥中心与消防站、重点单位、联动部门调度专线布设。</w:t>
            </w:r>
          </w:p>
          <w:p w14:paraId="5EBCBE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p>
        </w:tc>
        <w:tc>
          <w:tcPr>
            <w:tcW w:w="1013" w:type="dxa"/>
          </w:tcPr>
          <w:p w14:paraId="62931D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宋体" w:hAnsi="宋体" w:eastAsia="宋体" w:cs="宋体"/>
                <w:color w:val="auto"/>
                <w:kern w:val="0"/>
                <w:sz w:val="32"/>
                <w:szCs w:val="32"/>
                <w:highlight w:val="green"/>
                <w:vertAlign w:val="baseline"/>
                <w:lang w:val="en-US" w:eastAsia="zh-CN" w:bidi="ar"/>
              </w:rPr>
            </w:pPr>
            <w:r>
              <w:rPr>
                <w:rFonts w:hint="eastAsia" w:ascii="宋体" w:hAnsi="宋体" w:eastAsia="宋体" w:cs="宋体"/>
                <w:kern w:val="0"/>
                <w:sz w:val="24"/>
                <w:szCs w:val="24"/>
                <w:lang w:val="en-US" w:eastAsia="zh-CN" w:bidi="ar"/>
              </w:rPr>
              <w:t>约</w:t>
            </w:r>
            <w:r>
              <w:rPr>
                <w:rFonts w:ascii="宋体" w:hAnsi="宋体" w:eastAsia="宋体" w:cs="宋体"/>
                <w:kern w:val="0"/>
                <w:sz w:val="24"/>
                <w:szCs w:val="24"/>
                <w:lang w:val="en-US" w:eastAsia="zh-CN" w:bidi="ar"/>
              </w:rPr>
              <w:t>1</w:t>
            </w:r>
            <w:r>
              <w:rPr>
                <w:rFonts w:hint="eastAsia" w:ascii="宋体" w:hAnsi="宋体" w:cs="宋体"/>
                <w:kern w:val="0"/>
                <w:sz w:val="24"/>
                <w:szCs w:val="24"/>
                <w:lang w:val="en-US" w:eastAsia="zh-CN" w:bidi="ar"/>
              </w:rPr>
              <w:t>20万</w:t>
            </w:r>
          </w:p>
        </w:tc>
        <w:tc>
          <w:tcPr>
            <w:tcW w:w="2330" w:type="dxa"/>
          </w:tcPr>
          <w:p w14:paraId="26DAE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只建调度底座，数字孪生一张图、乡镇分平台延后至 2031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2035</w:t>
            </w:r>
          </w:p>
        </w:tc>
      </w:tr>
      <w:tr w14:paraId="6062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773653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hint="eastAsia" w:ascii="宋体" w:hAnsi="宋体" w:cs="宋体"/>
                <w:color w:val="auto"/>
                <w:kern w:val="0"/>
                <w:sz w:val="32"/>
                <w:szCs w:val="32"/>
                <w:highlight w:val="none"/>
                <w:vertAlign w:val="baseline"/>
                <w:lang w:val="en-US" w:eastAsia="zh-CN" w:bidi="ar"/>
              </w:rPr>
              <w:t>六</w:t>
            </w:r>
          </w:p>
        </w:tc>
        <w:tc>
          <w:tcPr>
            <w:tcW w:w="1012" w:type="dxa"/>
          </w:tcPr>
          <w:p w14:paraId="28C58D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none"/>
                <w:vertAlign w:val="baseline"/>
                <w:lang w:val="en-US" w:eastAsia="zh-CN" w:bidi="ar"/>
              </w:rPr>
            </w:pPr>
            <w:r>
              <w:rPr>
                <w:rFonts w:ascii="宋体" w:hAnsi="宋体" w:eastAsia="宋体" w:cs="宋体"/>
                <w:kern w:val="0"/>
                <w:sz w:val="24"/>
                <w:szCs w:val="24"/>
                <w:highlight w:val="none"/>
                <w:lang w:val="en-US" w:eastAsia="zh-CN" w:bidi="ar"/>
              </w:rPr>
              <w:t>基层消防能力建设</w:t>
            </w:r>
          </w:p>
        </w:tc>
        <w:tc>
          <w:tcPr>
            <w:tcW w:w="3525" w:type="dxa"/>
          </w:tcPr>
          <w:p w14:paraId="6E6741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乡镇专职队、重点村志愿队基础器材配发；消防宣传阵地、演练培训经费</w:t>
            </w:r>
          </w:p>
        </w:tc>
        <w:tc>
          <w:tcPr>
            <w:tcW w:w="1013" w:type="dxa"/>
          </w:tcPr>
          <w:p w14:paraId="6DF46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hint="eastAsia" w:ascii="宋体" w:hAnsi="宋体" w:eastAsia="宋体" w:cs="宋体"/>
                <w:kern w:val="0"/>
                <w:sz w:val="24"/>
                <w:szCs w:val="24"/>
                <w:lang w:val="en-US" w:eastAsia="zh-CN" w:bidi="ar"/>
              </w:rPr>
              <w:t>约</w:t>
            </w:r>
            <w:r>
              <w:rPr>
                <w:rFonts w:ascii="宋体" w:hAnsi="宋体" w:eastAsia="宋体" w:cs="宋体"/>
                <w:kern w:val="0"/>
                <w:sz w:val="24"/>
                <w:szCs w:val="24"/>
                <w:lang w:val="en-US" w:eastAsia="zh-CN" w:bidi="ar"/>
              </w:rPr>
              <w:t>70</w:t>
            </w:r>
            <w:r>
              <w:rPr>
                <w:rFonts w:hint="eastAsia" w:ascii="宋体" w:hAnsi="宋体" w:cs="宋体"/>
                <w:kern w:val="0"/>
                <w:sz w:val="24"/>
                <w:szCs w:val="24"/>
                <w:lang w:val="en-US" w:eastAsia="zh-CN" w:bidi="ar"/>
              </w:rPr>
              <w:t>万</w:t>
            </w:r>
          </w:p>
        </w:tc>
        <w:tc>
          <w:tcPr>
            <w:tcW w:w="2330" w:type="dxa"/>
          </w:tcPr>
          <w:p w14:paraId="6A76A5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left"/>
              <w:textAlignment w:val="auto"/>
              <w:rPr>
                <w:rFonts w:ascii="宋体" w:hAnsi="宋体" w:eastAsia="宋体" w:cs="宋体"/>
                <w:color w:val="auto"/>
                <w:kern w:val="0"/>
                <w:sz w:val="32"/>
                <w:szCs w:val="32"/>
                <w:highlight w:val="green"/>
                <w:vertAlign w:val="baseline"/>
                <w:lang w:val="en-US" w:eastAsia="zh-CN" w:bidi="ar"/>
              </w:rPr>
            </w:pPr>
            <w:r>
              <w:rPr>
                <w:rFonts w:ascii="宋体" w:hAnsi="宋体" w:eastAsia="宋体" w:cs="宋体"/>
                <w:kern w:val="0"/>
                <w:sz w:val="24"/>
                <w:szCs w:val="24"/>
                <w:lang w:val="en-US" w:eastAsia="zh-CN" w:bidi="ar"/>
              </w:rPr>
              <w:t>覆盖重点乡镇，剩余村社装备配置远期补齐</w:t>
            </w:r>
          </w:p>
        </w:tc>
      </w:tr>
    </w:tbl>
    <w:p w14:paraId="2581F3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textAlignment w:val="auto"/>
        <w:rPr>
          <w:color w:val="auto"/>
          <w:sz w:val="32"/>
          <w:szCs w:val="32"/>
        </w:rPr>
      </w:pPr>
    </w:p>
    <w:p w14:paraId="4C07F7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第十章 远期建设规划及投资估算</w:t>
      </w:r>
    </w:p>
    <w:p w14:paraId="639E10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textAlignment w:val="auto"/>
        <w:rPr>
          <w:rFonts w:hint="eastAsia" w:ascii="方正仿宋_GBK" w:hAnsi="方正仿宋_GBK" w:eastAsia="方正仿宋_GBK" w:cs="方正仿宋_GBK"/>
          <w:b/>
          <w:bCs/>
          <w:color w:val="auto"/>
          <w:sz w:val="32"/>
          <w:szCs w:val="32"/>
        </w:rPr>
      </w:pPr>
      <w:r>
        <w:rPr>
          <w:rFonts w:hint="eastAsia" w:ascii="方正仿宋_GBK" w:hAnsi="方正仿宋_GBK" w:eastAsia="方正仿宋_GBK" w:cs="方正仿宋_GBK"/>
          <w:b/>
          <w:bCs/>
          <w:color w:val="auto"/>
          <w:sz w:val="32"/>
          <w:szCs w:val="32"/>
        </w:rPr>
        <w:t>一、</w:t>
      </w:r>
      <w:r>
        <w:rPr>
          <w:rFonts w:hint="eastAsia" w:ascii="方正仿宋_GBK" w:hAnsi="方正仿宋_GBK" w:eastAsia="方正仿宋_GBK" w:cs="方正仿宋_GBK"/>
          <w:b/>
          <w:bCs/>
          <w:color w:val="auto"/>
          <w:sz w:val="32"/>
          <w:szCs w:val="32"/>
          <w:highlight w:val="none"/>
        </w:rPr>
        <w:t>远期建设重点</w:t>
      </w:r>
      <w:r>
        <w:rPr>
          <w:rFonts w:hint="eastAsia" w:ascii="方正仿宋_GBK" w:hAnsi="方正仿宋_GBK" w:eastAsia="方正仿宋_GBK" w:cs="方正仿宋_GBK"/>
          <w:b/>
          <w:bCs/>
          <w:color w:val="auto"/>
          <w:sz w:val="32"/>
          <w:szCs w:val="32"/>
        </w:rPr>
        <w:t>（2031-</w:t>
      </w:r>
      <w:r>
        <w:rPr>
          <w:rFonts w:hint="eastAsia" w:ascii="方正仿宋_GBK" w:hAnsi="方正仿宋_GBK" w:eastAsia="方正仿宋_GBK" w:cs="方正仿宋_GBK"/>
          <w:b/>
          <w:bCs/>
          <w:color w:val="auto"/>
          <w:sz w:val="32"/>
          <w:szCs w:val="32"/>
          <w:lang w:eastAsia="zh-CN"/>
        </w:rPr>
        <w:t>2035</w:t>
      </w:r>
      <w:r>
        <w:rPr>
          <w:rFonts w:hint="eastAsia" w:ascii="方正仿宋_GBK" w:hAnsi="方正仿宋_GBK" w:eastAsia="方正仿宋_GBK" w:cs="方正仿宋_GBK"/>
          <w:b/>
          <w:bCs/>
          <w:color w:val="auto"/>
          <w:sz w:val="32"/>
          <w:szCs w:val="32"/>
        </w:rPr>
        <w:t xml:space="preserve"> 年）</w:t>
      </w:r>
      <w:r>
        <w:rPr>
          <w:rFonts w:hint="eastAsia" w:ascii="方正仿宋_GBK" w:hAnsi="方正仿宋_GBK" w:eastAsia="方正仿宋_GBK" w:cs="方正仿宋_GBK"/>
          <w:b/>
          <w:bCs/>
          <w:color w:val="auto"/>
          <w:sz w:val="32"/>
          <w:szCs w:val="32"/>
          <w:lang w:eastAsia="zh-CN"/>
        </w:rPr>
        <w:t>约</w:t>
      </w:r>
      <w:r>
        <w:rPr>
          <w:rFonts w:hint="eastAsia" w:ascii="方正仿宋_GBK" w:hAnsi="方正仿宋_GBK" w:eastAsia="方正仿宋_GBK" w:cs="方正仿宋_GBK"/>
          <w:color w:val="auto"/>
          <w:sz w:val="32"/>
          <w:szCs w:val="32"/>
          <w:lang w:val="en-US" w:eastAsia="zh-CN"/>
        </w:rPr>
        <w:t>2080</w:t>
      </w:r>
      <w:r>
        <w:rPr>
          <w:rFonts w:hint="eastAsia" w:ascii="方正仿宋_GBK" w:hAnsi="方正仿宋_GBK" w:eastAsia="方正仿宋_GBK" w:cs="方正仿宋_GBK"/>
          <w:b/>
          <w:bCs/>
          <w:color w:val="auto"/>
          <w:sz w:val="32"/>
          <w:szCs w:val="32"/>
          <w:highlight w:val="none"/>
        </w:rPr>
        <w:t>万元</w:t>
      </w:r>
    </w:p>
    <w:p w14:paraId="58113E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消防站建设</w:t>
      </w:r>
      <w:r>
        <w:rPr>
          <w:rFonts w:hint="eastAsia" w:ascii="方正仿宋_GBK" w:hAnsi="方正仿宋_GBK" w:eastAsia="方正仿宋_GBK" w:cs="方正仿宋_GBK"/>
          <w:color w:val="auto"/>
          <w:sz w:val="32"/>
          <w:szCs w:val="32"/>
          <w:lang w:eastAsia="zh-CN"/>
        </w:rPr>
        <w:t>设施</w:t>
      </w:r>
      <w:r>
        <w:rPr>
          <w:rFonts w:hint="eastAsia" w:ascii="方正仿宋_GBK" w:hAnsi="方正仿宋_GBK" w:eastAsia="方正仿宋_GBK" w:cs="方正仿宋_GBK"/>
          <w:color w:val="auto"/>
          <w:sz w:val="32"/>
          <w:szCs w:val="32"/>
        </w:rPr>
        <w:t>：补齐举高、化工处置等特种消防车辆；完善训练设施、烟热模拟训练室全部功能，满足复杂灾害处置。责任区全覆盖，实现中心城区接警 5分钟、乡镇镇区10分钟响应目标。</w:t>
      </w:r>
    </w:p>
    <w:p w14:paraId="334EB2F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消防给水建设：完成剩余600座市政消火栓建设，全县合计 1200 座实现城乡全覆盖；完成剩余乡镇、行政村消防蓄水池建设，落实村镇水池容积标准；</w:t>
      </w:r>
      <w:r>
        <w:rPr>
          <w:rFonts w:hint="eastAsia" w:ascii="方正仿宋_GBK" w:hAnsi="方正仿宋_GBK" w:eastAsia="方正仿宋_GBK" w:cs="方正仿宋_GBK"/>
          <w:sz w:val="32"/>
          <w:szCs w:val="32"/>
          <w:lang w:val="en-US" w:eastAsia="zh-CN"/>
        </w:rPr>
        <w:t>新增消防水鹤10座，</w:t>
      </w:r>
      <w:r>
        <w:rPr>
          <w:rFonts w:hint="eastAsia" w:ascii="方正仿宋_GBK" w:hAnsi="方正仿宋_GBK" w:eastAsia="方正仿宋_GBK" w:cs="方正仿宋_GBK"/>
          <w:color w:val="auto"/>
          <w:sz w:val="32"/>
          <w:szCs w:val="32"/>
        </w:rPr>
        <w:t>补齐 15 座消防水鹤；完成乡镇供水管网环状 / 枝状改造；天然水源取水点全部标准化，落实破冰、硬化道路、取水平台，满足严寒地区使用。</w:t>
      </w:r>
    </w:p>
    <w:p w14:paraId="23CC5D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消防通道建设：完成全县乡镇镇区、中心村末梢四级消防通道改造，实现通道全域覆盖；产业园区、旅游景区新增 4 处公共停车场；完整落实一、二、三、四级消防通道管控，消防车通道中心线间距≤160m，尽端回车场全部达标，杜绝占用堵塞。</w:t>
      </w:r>
    </w:p>
    <w:p w14:paraId="65D0984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4.</w:t>
      </w:r>
      <w:r>
        <w:rPr>
          <w:rFonts w:hint="eastAsia" w:ascii="方正仿宋_GBK" w:hAnsi="方正仿宋_GBK" w:eastAsia="方正仿宋_GBK" w:cs="方正仿宋_GBK"/>
          <w:color w:val="auto"/>
          <w:sz w:val="32"/>
          <w:szCs w:val="32"/>
        </w:rPr>
        <w:t>消防通信与智慧消防：建成完整智慧消防体系，上线数字孪生一张图；建设清水河镇乡镇智慧消防分平台；高层建筑、化工园区、大型商超、旅游景区全面布设智能烟感、电气监测、AI 视频感知终端；完善无线通信一级网，实现全域无线通信无盲区。</w:t>
      </w:r>
    </w:p>
    <w:p w14:paraId="39A89D3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避难场所配套完善：落实第七章避难场所规划，10 处县级、12 处乡镇级、60 处社区级避难场所配齐应急消防、供水、排污、标识、广播、供暖设施，满足 DB65/T8030</w:t>
      </w:r>
      <w:r>
        <w:rPr>
          <w:rFonts w:hint="eastAsia" w:ascii="方正仿宋_GBK" w:hAnsi="方正仿宋_GBK" w:eastAsia="方正仿宋_GBK" w:cs="方正仿宋_GBK"/>
          <w:color w:val="auto"/>
          <w:sz w:val="32"/>
          <w:szCs w:val="32"/>
        </w:rPr>
        <w:noBreakHyphen/>
      </w:r>
      <w:r>
        <w:rPr>
          <w:rFonts w:hint="eastAsia" w:ascii="方正仿宋_GBK" w:hAnsi="方正仿宋_GBK" w:eastAsia="方正仿宋_GBK" w:cs="方正仿宋_GBK"/>
          <w:color w:val="auto"/>
          <w:sz w:val="32"/>
          <w:szCs w:val="32"/>
        </w:rPr>
        <w:t>2024 新疆应急避难场所建设技术标准。</w:t>
      </w:r>
    </w:p>
    <w:p w14:paraId="7351E5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6.</w:t>
      </w:r>
      <w:r>
        <w:rPr>
          <w:rFonts w:hint="eastAsia" w:ascii="方正仿宋_GBK" w:hAnsi="方正仿宋_GBK" w:eastAsia="方正仿宋_GBK" w:cs="方正仿宋_GBK"/>
          <w:color w:val="auto"/>
          <w:sz w:val="32"/>
          <w:szCs w:val="32"/>
        </w:rPr>
        <w:t>基层消防力量：全部乡镇建成专职 / 志愿消防队，</w:t>
      </w:r>
      <w:r>
        <w:rPr>
          <w:rFonts w:hint="eastAsia" w:ascii="方正仿宋_GBK" w:hAnsi="方正仿宋_GBK" w:eastAsia="方正仿宋_GBK" w:cs="方正仿宋_GBK"/>
          <w:color w:val="auto"/>
          <w:sz w:val="32"/>
          <w:szCs w:val="32"/>
          <w:lang w:eastAsia="zh-CN"/>
        </w:rPr>
        <w:t>人员配置≥</w:t>
      </w:r>
      <w:r>
        <w:rPr>
          <w:rFonts w:hint="eastAsia" w:ascii="方正仿宋_GBK" w:hAnsi="方正仿宋_GBK" w:eastAsia="方正仿宋_GBK" w:cs="方正仿宋_GBK"/>
          <w:color w:val="auto"/>
          <w:sz w:val="32"/>
          <w:szCs w:val="32"/>
          <w:lang w:val="en-US" w:eastAsia="zh-CN"/>
        </w:rPr>
        <w:t>6人，</w:t>
      </w:r>
      <w:r>
        <w:rPr>
          <w:rFonts w:hint="eastAsia" w:ascii="方正仿宋_GBK" w:hAnsi="方正仿宋_GBK" w:eastAsia="方正仿宋_GBK" w:cs="方正仿宋_GBK"/>
          <w:color w:val="auto"/>
          <w:sz w:val="32"/>
          <w:szCs w:val="32"/>
        </w:rPr>
        <w:t>所有行政村配齐消防器材箱；全民消防宣传常态化，火灾事故起数与损失持续下降；完成消防与抗震、人防防灾协同体系落地，实现一场多用、多部门联合演练。</w:t>
      </w:r>
    </w:p>
    <w:p w14:paraId="7ABBC8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二、投资估算</w:t>
      </w:r>
    </w:p>
    <w:p w14:paraId="0C0163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远期（2031-2035 年）消防设施总投资约 2080 万元。具体如下：</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83"/>
        <w:gridCol w:w="3045"/>
        <w:gridCol w:w="1665"/>
        <w:gridCol w:w="1648"/>
      </w:tblGrid>
      <w:tr w14:paraId="305F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2" w:hRule="atLeast"/>
        </w:trPr>
        <w:tc>
          <w:tcPr>
            <w:tcW w:w="681" w:type="dxa"/>
          </w:tcPr>
          <w:p w14:paraId="789BED78">
            <w:pPr>
              <w:keepNext w:val="0"/>
              <w:keepLines w:val="0"/>
              <w:widowControl/>
              <w:suppressLineNumbers w:val="0"/>
              <w:jc w:val="left"/>
            </w:pPr>
            <w:r>
              <w:rPr>
                <w:rFonts w:ascii="宋体" w:hAnsi="宋体" w:eastAsia="宋体" w:cs="宋体"/>
                <w:kern w:val="0"/>
                <w:sz w:val="24"/>
                <w:szCs w:val="24"/>
                <w:lang w:val="en-US" w:eastAsia="zh-CN" w:bidi="ar"/>
              </w:rPr>
              <w:t>序号</w:t>
            </w:r>
          </w:p>
          <w:p w14:paraId="3E81C868">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1483" w:type="dxa"/>
          </w:tcPr>
          <w:p w14:paraId="44882E19">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ascii="宋体" w:hAnsi="宋体" w:eastAsia="宋体" w:cs="宋体"/>
                <w:kern w:val="0"/>
                <w:sz w:val="24"/>
                <w:szCs w:val="24"/>
                <w:lang w:val="en-US" w:eastAsia="zh-CN" w:bidi="ar"/>
              </w:rPr>
              <w:t>项目类别</w:t>
            </w:r>
          </w:p>
        </w:tc>
        <w:tc>
          <w:tcPr>
            <w:tcW w:w="3045" w:type="dxa"/>
          </w:tcPr>
          <w:p w14:paraId="615F31C8">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ascii="宋体" w:hAnsi="宋体" w:eastAsia="宋体" w:cs="宋体"/>
                <w:kern w:val="0"/>
                <w:sz w:val="24"/>
                <w:szCs w:val="24"/>
                <w:lang w:val="en-US" w:eastAsia="zh-CN" w:bidi="ar"/>
              </w:rPr>
              <w:t>详细建设内容</w:t>
            </w:r>
          </w:p>
        </w:tc>
        <w:tc>
          <w:tcPr>
            <w:tcW w:w="1665" w:type="dxa"/>
          </w:tcPr>
          <w:p w14:paraId="15D43029">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ascii="宋体" w:hAnsi="宋体" w:eastAsia="宋体" w:cs="宋体"/>
                <w:kern w:val="0"/>
                <w:sz w:val="24"/>
                <w:szCs w:val="24"/>
                <w:lang w:val="en-US" w:eastAsia="zh-CN" w:bidi="ar"/>
              </w:rPr>
              <w:t>小计（万元）</w:t>
            </w:r>
          </w:p>
        </w:tc>
        <w:tc>
          <w:tcPr>
            <w:tcW w:w="1648" w:type="dxa"/>
          </w:tcPr>
          <w:p w14:paraId="266EFADB">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ascii="宋体" w:hAnsi="宋体" w:eastAsia="宋体" w:cs="宋体"/>
                <w:kern w:val="0"/>
                <w:sz w:val="24"/>
                <w:szCs w:val="24"/>
                <w:lang w:val="en-US" w:eastAsia="zh-CN" w:bidi="ar"/>
              </w:rPr>
              <w:t>备注</w:t>
            </w:r>
          </w:p>
        </w:tc>
      </w:tr>
      <w:tr w14:paraId="3EBE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14:paraId="52E809CF">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hint="eastAsia"/>
                <w:color w:val="auto"/>
                <w:sz w:val="32"/>
                <w:szCs w:val="32"/>
                <w:vertAlign w:val="baseline"/>
                <w:lang w:eastAsia="zh-CN"/>
              </w:rPr>
              <w:t>一</w:t>
            </w:r>
          </w:p>
        </w:tc>
        <w:tc>
          <w:tcPr>
            <w:tcW w:w="1483" w:type="dxa"/>
          </w:tcPr>
          <w:p w14:paraId="57E1F6A4">
            <w:pPr>
              <w:keepNext w:val="0"/>
              <w:keepLines w:val="0"/>
              <w:widowControl/>
              <w:suppressLineNumbers w:val="0"/>
              <w:jc w:val="left"/>
            </w:pPr>
            <w:r>
              <w:rPr>
                <w:rFonts w:ascii="宋体" w:hAnsi="宋体" w:eastAsia="宋体" w:cs="宋体"/>
                <w:kern w:val="0"/>
                <w:sz w:val="24"/>
                <w:szCs w:val="24"/>
                <w:lang w:val="en-US" w:eastAsia="zh-CN" w:bidi="ar"/>
              </w:rPr>
              <w:t>消防特种及智能装备</w:t>
            </w:r>
          </w:p>
          <w:p w14:paraId="24878805">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3045" w:type="dxa"/>
          </w:tcPr>
          <w:p w14:paraId="133AC22F">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补齐举高喷射消防车、化工处置特种车辆；灭火机器人、侦察无人机全套；化工侦检、全套智能个人防护装备</w:t>
            </w:r>
          </w:p>
          <w:p w14:paraId="0C8E875B">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1665" w:type="dxa"/>
          </w:tcPr>
          <w:p w14:paraId="64408F92">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default"/>
                <w:color w:val="auto"/>
                <w:sz w:val="32"/>
                <w:szCs w:val="32"/>
                <w:vertAlign w:val="baseline"/>
                <w:lang w:val="en-US" w:eastAsia="zh-CN"/>
              </w:rPr>
            </w:pPr>
            <w:r>
              <w:rPr>
                <w:rFonts w:hint="eastAsia" w:ascii="宋体" w:hAnsi="宋体" w:cs="宋体"/>
                <w:kern w:val="0"/>
                <w:sz w:val="24"/>
                <w:szCs w:val="24"/>
                <w:lang w:val="en-US" w:eastAsia="zh-CN" w:bidi="ar"/>
              </w:rPr>
              <w:t>约400万</w:t>
            </w:r>
          </w:p>
        </w:tc>
        <w:tc>
          <w:tcPr>
            <w:tcW w:w="1648" w:type="dxa"/>
          </w:tcPr>
          <w:p w14:paraId="495FDEEE">
            <w:pPr>
              <w:keepNext w:val="0"/>
              <w:keepLines w:val="0"/>
              <w:widowControl/>
              <w:suppressLineNumbers w:val="0"/>
              <w:jc w:val="left"/>
            </w:pPr>
            <w:r>
              <w:rPr>
                <w:rFonts w:ascii="宋体" w:hAnsi="宋体" w:eastAsia="宋体" w:cs="宋体"/>
                <w:kern w:val="0"/>
                <w:sz w:val="24"/>
                <w:szCs w:val="24"/>
                <w:lang w:val="en-US" w:eastAsia="zh-CN" w:bidi="ar"/>
              </w:rPr>
              <w:t>补齐近期未采购高端特种装备，满足化工、文旅、高层复杂灾害救援</w:t>
            </w:r>
          </w:p>
          <w:p w14:paraId="4026DFD3">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r>
      <w:tr w14:paraId="3D5E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14:paraId="1CAAA6CB">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hint="eastAsia"/>
                <w:color w:val="auto"/>
                <w:sz w:val="32"/>
                <w:szCs w:val="32"/>
                <w:vertAlign w:val="baseline"/>
                <w:lang w:eastAsia="zh-CN"/>
              </w:rPr>
              <w:t>二</w:t>
            </w:r>
          </w:p>
        </w:tc>
        <w:tc>
          <w:tcPr>
            <w:tcW w:w="1483" w:type="dxa"/>
          </w:tcPr>
          <w:p w14:paraId="62D0E9F0">
            <w:pPr>
              <w:keepNext w:val="0"/>
              <w:keepLines w:val="0"/>
              <w:widowControl/>
              <w:suppressLineNumbers w:val="0"/>
              <w:jc w:val="left"/>
            </w:pPr>
            <w:r>
              <w:rPr>
                <w:rFonts w:ascii="宋体" w:hAnsi="宋体" w:eastAsia="宋体" w:cs="宋体"/>
                <w:kern w:val="0"/>
                <w:sz w:val="24"/>
                <w:szCs w:val="24"/>
                <w:lang w:val="en-US" w:eastAsia="zh-CN" w:bidi="ar"/>
              </w:rPr>
              <w:t>消防供水系统工程</w:t>
            </w:r>
          </w:p>
          <w:p w14:paraId="7836B6B6">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3045" w:type="dxa"/>
          </w:tcPr>
          <w:p w14:paraId="0281D6E1">
            <w:pPr>
              <w:keepNext w:val="0"/>
              <w:keepLines w:val="0"/>
              <w:widowControl/>
              <w:suppressLineNumbers w:val="0"/>
              <w:jc w:val="left"/>
            </w:pPr>
            <w:r>
              <w:rPr>
                <w:rFonts w:ascii="宋体" w:hAnsi="宋体" w:eastAsia="宋体" w:cs="宋体"/>
                <w:kern w:val="0"/>
                <w:sz w:val="24"/>
                <w:szCs w:val="24"/>
                <w:lang w:val="en-US" w:eastAsia="zh-CN" w:bidi="ar"/>
              </w:rPr>
              <w:t>新建剩余 600 座市政消火栓；剩余乡镇、行政村消防蓄水池；1</w:t>
            </w:r>
            <w:r>
              <w:rPr>
                <w:rFonts w:hint="eastAsia" w:ascii="宋体" w:hAnsi="宋体" w:cs="宋体"/>
                <w:kern w:val="0"/>
                <w:sz w:val="24"/>
                <w:szCs w:val="24"/>
                <w:lang w:val="en-US" w:eastAsia="zh-CN" w:bidi="ar"/>
              </w:rPr>
              <w:t>0</w:t>
            </w:r>
            <w:r>
              <w:rPr>
                <w:rFonts w:ascii="宋体" w:hAnsi="宋体" w:eastAsia="宋体" w:cs="宋体"/>
                <w:kern w:val="0"/>
                <w:sz w:val="24"/>
                <w:szCs w:val="24"/>
                <w:lang w:val="en-US" w:eastAsia="zh-CN" w:bidi="ar"/>
              </w:rPr>
              <w:t>座消防水鹤；乡镇农村供水管网改造；全部天然取水点标准化完善</w:t>
            </w:r>
          </w:p>
          <w:p w14:paraId="55671954">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1665" w:type="dxa"/>
          </w:tcPr>
          <w:p w14:paraId="5DAFFF48">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default"/>
                <w:color w:val="auto"/>
                <w:sz w:val="32"/>
                <w:szCs w:val="32"/>
                <w:vertAlign w:val="baseline"/>
                <w:lang w:val="en-US" w:eastAsia="zh-CN"/>
              </w:rPr>
            </w:pPr>
            <w:r>
              <w:rPr>
                <w:rFonts w:hint="eastAsia" w:ascii="宋体" w:hAnsi="宋体" w:eastAsia="宋体" w:cs="宋体"/>
                <w:kern w:val="0"/>
                <w:sz w:val="24"/>
                <w:szCs w:val="24"/>
                <w:lang w:val="en-US" w:eastAsia="zh-CN" w:bidi="ar"/>
              </w:rPr>
              <w:t>约700万</w:t>
            </w:r>
          </w:p>
        </w:tc>
        <w:tc>
          <w:tcPr>
            <w:tcW w:w="1648" w:type="dxa"/>
          </w:tcPr>
          <w:p w14:paraId="1D42B3B2">
            <w:pPr>
              <w:keepNext w:val="0"/>
              <w:keepLines w:val="0"/>
              <w:widowControl/>
              <w:suppressLineNumbers w:val="0"/>
              <w:jc w:val="left"/>
            </w:pPr>
            <w:r>
              <w:rPr>
                <w:rFonts w:ascii="宋体" w:hAnsi="宋体" w:eastAsia="宋体" w:cs="宋体"/>
                <w:kern w:val="0"/>
                <w:sz w:val="24"/>
                <w:szCs w:val="24"/>
                <w:lang w:val="en-US" w:eastAsia="zh-CN" w:bidi="ar"/>
              </w:rPr>
              <w:t>实现全县消火栓 1200 座总规模，水源主备双路保障</w:t>
            </w:r>
          </w:p>
          <w:p w14:paraId="2EDEB59B">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r>
      <w:tr w14:paraId="5787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1" w:type="dxa"/>
          </w:tcPr>
          <w:p w14:paraId="24D09BE7">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hint="eastAsia"/>
                <w:color w:val="auto"/>
                <w:sz w:val="32"/>
                <w:szCs w:val="32"/>
                <w:vertAlign w:val="baseline"/>
                <w:lang w:eastAsia="zh-CN"/>
              </w:rPr>
              <w:t>三</w:t>
            </w:r>
          </w:p>
        </w:tc>
        <w:tc>
          <w:tcPr>
            <w:tcW w:w="1483" w:type="dxa"/>
          </w:tcPr>
          <w:p w14:paraId="28374E04">
            <w:pPr>
              <w:keepNext w:val="0"/>
              <w:keepLines w:val="0"/>
              <w:widowControl/>
              <w:suppressLineNumbers w:val="0"/>
              <w:jc w:val="left"/>
            </w:pPr>
            <w:r>
              <w:rPr>
                <w:rFonts w:ascii="宋体" w:hAnsi="宋体" w:eastAsia="宋体" w:cs="宋体"/>
                <w:kern w:val="0"/>
                <w:sz w:val="24"/>
                <w:szCs w:val="24"/>
                <w:lang w:val="en-US" w:eastAsia="zh-CN" w:bidi="ar"/>
              </w:rPr>
              <w:t>消防通道畅通工程</w:t>
            </w:r>
          </w:p>
          <w:p w14:paraId="653EB777">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3045" w:type="dxa"/>
          </w:tcPr>
          <w:p w14:paraId="3D195039">
            <w:pPr>
              <w:keepNext w:val="0"/>
              <w:keepLines w:val="0"/>
              <w:widowControl/>
              <w:suppressLineNumbers w:val="0"/>
              <w:jc w:val="left"/>
            </w:pPr>
            <w:r>
              <w:rPr>
                <w:rFonts w:ascii="宋体" w:hAnsi="宋体" w:eastAsia="宋体" w:cs="宋体"/>
                <w:kern w:val="0"/>
                <w:sz w:val="24"/>
                <w:szCs w:val="24"/>
                <w:lang w:val="en-US" w:eastAsia="zh-CN" w:bidi="ar"/>
              </w:rPr>
              <w:t>乡镇、村组消防通道全覆盖改造；产业园区、景区新增 4 座公共停车场；全县回车场、禁停监控、标识标线系统建设</w:t>
            </w:r>
          </w:p>
          <w:p w14:paraId="38FCB38A">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1665" w:type="dxa"/>
          </w:tcPr>
          <w:p w14:paraId="70411704">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default" w:ascii="宋体" w:hAnsi="宋体" w:cs="宋体"/>
                <w:kern w:val="0"/>
                <w:sz w:val="24"/>
                <w:szCs w:val="24"/>
                <w:lang w:val="en-US" w:eastAsia="zh-CN" w:bidi="ar"/>
              </w:rPr>
            </w:pPr>
            <w:r>
              <w:rPr>
                <w:rFonts w:hint="eastAsia" w:ascii="宋体" w:hAnsi="宋体" w:eastAsia="宋体" w:cs="宋体"/>
                <w:kern w:val="0"/>
                <w:sz w:val="24"/>
                <w:szCs w:val="24"/>
                <w:lang w:val="en-US" w:eastAsia="zh-CN" w:bidi="ar"/>
              </w:rPr>
              <w:t>约</w:t>
            </w:r>
            <w:r>
              <w:rPr>
                <w:rFonts w:hint="eastAsia" w:ascii="宋体" w:hAnsi="宋体" w:cs="宋体"/>
                <w:kern w:val="0"/>
                <w:sz w:val="24"/>
                <w:szCs w:val="24"/>
                <w:lang w:val="en-US" w:eastAsia="zh-CN" w:bidi="ar"/>
              </w:rPr>
              <w:t>480万</w:t>
            </w:r>
          </w:p>
        </w:tc>
        <w:tc>
          <w:tcPr>
            <w:tcW w:w="1648" w:type="dxa"/>
          </w:tcPr>
          <w:p w14:paraId="42A74B58">
            <w:pPr>
              <w:keepNext w:val="0"/>
              <w:keepLines w:val="0"/>
              <w:widowControl/>
              <w:suppressLineNumbers w:val="0"/>
              <w:jc w:val="left"/>
            </w:pPr>
            <w:r>
              <w:rPr>
                <w:rFonts w:ascii="宋体" w:hAnsi="宋体" w:eastAsia="宋体" w:cs="宋体"/>
                <w:kern w:val="0"/>
                <w:sz w:val="24"/>
                <w:szCs w:val="24"/>
                <w:lang w:val="en-US" w:eastAsia="zh-CN" w:bidi="ar"/>
              </w:rPr>
              <w:t>实现全县域通道 4m 以上通行条件，满足大型消防车回转</w:t>
            </w:r>
          </w:p>
          <w:p w14:paraId="50F47554">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r>
      <w:tr w14:paraId="7A7B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1" w:type="dxa"/>
          </w:tcPr>
          <w:p w14:paraId="215BF2D6">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hint="eastAsia"/>
                <w:color w:val="auto"/>
                <w:sz w:val="32"/>
                <w:szCs w:val="32"/>
                <w:vertAlign w:val="baseline"/>
                <w:lang w:eastAsia="zh-CN"/>
              </w:rPr>
              <w:t>四</w:t>
            </w:r>
          </w:p>
        </w:tc>
        <w:tc>
          <w:tcPr>
            <w:tcW w:w="1483" w:type="dxa"/>
          </w:tcPr>
          <w:p w14:paraId="263998FE">
            <w:pPr>
              <w:keepNext w:val="0"/>
              <w:keepLines w:val="0"/>
              <w:widowControl/>
              <w:suppressLineNumbers w:val="0"/>
              <w:jc w:val="left"/>
            </w:pPr>
            <w:r>
              <w:rPr>
                <w:rFonts w:ascii="宋体" w:hAnsi="宋体" w:eastAsia="宋体" w:cs="宋体"/>
                <w:kern w:val="0"/>
                <w:sz w:val="24"/>
                <w:szCs w:val="24"/>
                <w:lang w:val="en-US" w:eastAsia="zh-CN" w:bidi="ar"/>
              </w:rPr>
              <w:t>完整智慧消防系统</w:t>
            </w:r>
          </w:p>
          <w:p w14:paraId="415D0504">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3045" w:type="dxa"/>
          </w:tcPr>
          <w:p w14:paraId="00A42A69">
            <w:pPr>
              <w:keepNext w:val="0"/>
              <w:keepLines w:val="0"/>
              <w:widowControl/>
              <w:suppressLineNumbers w:val="0"/>
              <w:jc w:val="left"/>
              <w:rPr>
                <w:rFonts w:hint="eastAsia" w:ascii="宋体" w:hAnsi="宋体" w:cs="宋体"/>
                <w:kern w:val="0"/>
                <w:sz w:val="24"/>
                <w:szCs w:val="24"/>
                <w:lang w:val="en-US" w:eastAsia="zh-CN" w:bidi="ar"/>
              </w:rPr>
            </w:pPr>
            <w:r>
              <w:rPr>
                <w:rFonts w:ascii="宋体" w:hAnsi="宋体" w:eastAsia="宋体" w:cs="宋体"/>
                <w:kern w:val="0"/>
                <w:sz w:val="24"/>
                <w:szCs w:val="24"/>
                <w:lang w:val="en-US" w:eastAsia="zh-CN" w:bidi="ar"/>
              </w:rPr>
              <w:t>数字孪生一张图；清水河镇分平台；高层建筑、园区、商铺全域智能感知终端布设；消防通信</w:t>
            </w:r>
            <w:r>
              <w:rPr>
                <w:rFonts w:hint="eastAsia" w:ascii="宋体" w:hAnsi="宋体" w:cs="宋体"/>
                <w:kern w:val="0"/>
                <w:sz w:val="24"/>
                <w:szCs w:val="24"/>
                <w:lang w:val="en-US" w:eastAsia="zh-CN" w:bidi="ar"/>
              </w:rPr>
              <w:t xml:space="preserve"> </w:t>
            </w:r>
          </w:p>
          <w:p w14:paraId="0684BE11">
            <w:pPr>
              <w:keepNext w:val="0"/>
              <w:keepLines w:val="0"/>
              <w:widowControl/>
              <w:suppressLineNumbers w:val="0"/>
              <w:jc w:val="left"/>
            </w:pPr>
            <w:r>
              <w:rPr>
                <w:rFonts w:ascii="宋体" w:hAnsi="宋体" w:eastAsia="宋体" w:cs="宋体"/>
                <w:kern w:val="0"/>
                <w:sz w:val="24"/>
                <w:szCs w:val="24"/>
                <w:lang w:val="en-US" w:eastAsia="zh-CN" w:bidi="ar"/>
              </w:rPr>
              <w:t>一级网完善</w:t>
            </w:r>
          </w:p>
          <w:p w14:paraId="78EF3052">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1665" w:type="dxa"/>
          </w:tcPr>
          <w:p w14:paraId="352819DD">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约380万</w:t>
            </w:r>
          </w:p>
        </w:tc>
        <w:tc>
          <w:tcPr>
            <w:tcW w:w="1648" w:type="dxa"/>
          </w:tcPr>
          <w:p w14:paraId="7C3F2187">
            <w:pPr>
              <w:keepNext w:val="0"/>
              <w:keepLines w:val="0"/>
              <w:widowControl/>
              <w:suppressLineNumbers w:val="0"/>
              <w:jc w:val="left"/>
            </w:pPr>
            <w:r>
              <w:rPr>
                <w:rFonts w:ascii="宋体" w:hAnsi="宋体" w:eastAsia="宋体" w:cs="宋体"/>
                <w:kern w:val="0"/>
                <w:sz w:val="24"/>
                <w:szCs w:val="24"/>
                <w:lang w:val="en-US" w:eastAsia="zh-CN" w:bidi="ar"/>
              </w:rPr>
              <w:t>对接全州应急平台，县</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乡</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村三级数据互通</w:t>
            </w:r>
          </w:p>
          <w:p w14:paraId="5E418770">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r>
      <w:tr w14:paraId="3A0C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1" w:type="dxa"/>
          </w:tcPr>
          <w:p w14:paraId="782CE953">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r>
              <w:rPr>
                <w:rFonts w:hint="eastAsia"/>
                <w:color w:val="auto"/>
                <w:sz w:val="32"/>
                <w:szCs w:val="32"/>
                <w:vertAlign w:val="baseline"/>
                <w:lang w:eastAsia="zh-CN"/>
              </w:rPr>
              <w:t>五</w:t>
            </w:r>
          </w:p>
        </w:tc>
        <w:tc>
          <w:tcPr>
            <w:tcW w:w="1483" w:type="dxa"/>
          </w:tcPr>
          <w:p w14:paraId="6F478811">
            <w:pPr>
              <w:keepNext w:val="0"/>
              <w:keepLines w:val="0"/>
              <w:widowControl/>
              <w:suppressLineNumbers w:val="0"/>
              <w:jc w:val="left"/>
            </w:pPr>
            <w:r>
              <w:rPr>
                <w:rFonts w:ascii="宋体" w:hAnsi="宋体" w:eastAsia="宋体" w:cs="宋体"/>
                <w:kern w:val="0"/>
                <w:sz w:val="24"/>
                <w:szCs w:val="24"/>
                <w:lang w:val="en-US" w:eastAsia="zh-CN" w:bidi="ar"/>
              </w:rPr>
              <w:t>基层消防、避难场所配套</w:t>
            </w:r>
          </w:p>
          <w:p w14:paraId="6F529F36">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3045" w:type="dxa"/>
          </w:tcPr>
          <w:p w14:paraId="4F6B6009">
            <w:pPr>
              <w:keepNext w:val="0"/>
              <w:keepLines w:val="0"/>
              <w:widowControl/>
              <w:suppressLineNumbers w:val="0"/>
              <w:jc w:val="left"/>
            </w:pPr>
            <w:r>
              <w:rPr>
                <w:rFonts w:ascii="宋体" w:hAnsi="宋体" w:eastAsia="宋体" w:cs="宋体"/>
                <w:kern w:val="0"/>
                <w:sz w:val="24"/>
                <w:szCs w:val="24"/>
                <w:lang w:val="en-US" w:eastAsia="zh-CN" w:bidi="ar"/>
              </w:rPr>
              <w:t>剩余村社志愿队器材配置；避难场所消防、应急设施完善；常态化宣传、演练、培训</w:t>
            </w:r>
          </w:p>
          <w:p w14:paraId="5F968FB0">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c>
          <w:tcPr>
            <w:tcW w:w="1665" w:type="dxa"/>
          </w:tcPr>
          <w:p w14:paraId="7CD25310">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约120万</w:t>
            </w:r>
          </w:p>
        </w:tc>
        <w:tc>
          <w:tcPr>
            <w:tcW w:w="1648" w:type="dxa"/>
          </w:tcPr>
          <w:p w14:paraId="427DD3C4">
            <w:pPr>
              <w:keepNext w:val="0"/>
              <w:keepLines w:val="0"/>
              <w:widowControl/>
              <w:suppressLineNumbers w:val="0"/>
              <w:jc w:val="left"/>
            </w:pPr>
            <w:r>
              <w:rPr>
                <w:rFonts w:ascii="宋体" w:hAnsi="宋体" w:eastAsia="宋体" w:cs="宋体"/>
                <w:kern w:val="0"/>
                <w:sz w:val="24"/>
                <w:szCs w:val="24"/>
                <w:lang w:val="en-US" w:eastAsia="zh-CN" w:bidi="ar"/>
              </w:rPr>
              <w:t>落实避难场所人均避难面积≥1.5㎡，配套应急消防设施</w:t>
            </w:r>
          </w:p>
          <w:p w14:paraId="433A4518">
            <w:pPr>
              <w:keepNext w:val="0"/>
              <w:keepLines w:val="0"/>
              <w:pageBreakBefore w:val="0"/>
              <w:widowControl/>
              <w:numPr>
                <w:ilvl w:val="0"/>
                <w:numId w:val="0"/>
              </w:numPr>
              <w:suppressLineNumbers w:val="0"/>
              <w:tabs>
                <w:tab w:val="left" w:pos="720"/>
              </w:tabs>
              <w:kinsoku/>
              <w:wordWrap/>
              <w:overflowPunct/>
              <w:topLinePunct w:val="0"/>
              <w:autoSpaceDE/>
              <w:autoSpaceDN/>
              <w:bidi w:val="0"/>
              <w:adjustRightInd/>
              <w:snapToGrid/>
              <w:spacing w:before="0" w:beforeAutospacing="0" w:after="0" w:afterAutospacing="0" w:line="360" w:lineRule="atLeast"/>
              <w:ind w:right="0" w:rightChars="0"/>
              <w:jc w:val="left"/>
              <w:textAlignment w:val="auto"/>
              <w:rPr>
                <w:rFonts w:hint="eastAsia"/>
                <w:color w:val="auto"/>
                <w:sz w:val="32"/>
                <w:szCs w:val="32"/>
                <w:vertAlign w:val="baseline"/>
                <w:lang w:eastAsia="zh-CN"/>
              </w:rPr>
            </w:pPr>
          </w:p>
        </w:tc>
      </w:tr>
    </w:tbl>
    <w:p w14:paraId="6E2C6F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both"/>
        <w:textAlignment w:val="auto"/>
        <w:rPr>
          <w:rFonts w:hint="eastAsia"/>
          <w:color w:val="auto"/>
          <w:sz w:val="32"/>
          <w:szCs w:val="32"/>
          <w:lang w:val="en-US" w:eastAsia="zh-CN"/>
        </w:rPr>
      </w:pPr>
      <w:r>
        <w:rPr>
          <w:rFonts w:hint="eastAsia"/>
          <w:color w:val="auto"/>
          <w:sz w:val="32"/>
          <w:szCs w:val="32"/>
          <w:lang w:val="en-US" w:eastAsia="zh-CN"/>
        </w:rPr>
        <w:t xml:space="preserve"> </w:t>
      </w:r>
    </w:p>
    <w:p w14:paraId="18475996">
      <w:pPr>
        <w:rPr>
          <w:rFonts w:hint="eastAsia"/>
          <w:color w:val="auto"/>
          <w:sz w:val="32"/>
          <w:szCs w:val="32"/>
          <w:lang w:val="en-US" w:eastAsia="zh-CN"/>
        </w:rPr>
      </w:pPr>
    </w:p>
    <w:p w14:paraId="4BB321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SA"/>
        </w:rPr>
      </w:pPr>
      <w:r>
        <w:rPr>
          <w:rFonts w:hint="eastAsia" w:ascii="方正小标宋_GBK" w:hAnsi="方正小标宋_GBK" w:eastAsia="方正小标宋_GBK" w:cs="方正小标宋_GBK"/>
          <w:b w:val="0"/>
          <w:bCs w:val="0"/>
          <w:color w:val="000000"/>
          <w:kern w:val="2"/>
          <w:sz w:val="44"/>
          <w:szCs w:val="44"/>
          <w:lang w:val="en-US" w:eastAsia="zh-CN" w:bidi="ar-SA"/>
        </w:rPr>
        <w:t xml:space="preserve"> 第十一章 规划实施措施</w:t>
      </w:r>
    </w:p>
    <w:p w14:paraId="039E12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textAlignment w:val="auto"/>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rPr>
        <w:t>一、加强组织领导</w:t>
      </w:r>
      <w:r>
        <w:rPr>
          <w:rFonts w:hint="eastAsia" w:ascii="方正仿宋_GBK" w:hAnsi="方正仿宋_GBK" w:eastAsia="方正仿宋_GBK" w:cs="方正仿宋_GBK"/>
          <w:b/>
          <w:bCs/>
          <w:color w:val="auto"/>
          <w:sz w:val="32"/>
          <w:szCs w:val="32"/>
          <w:lang w:val="en-US" w:eastAsia="zh-CN"/>
        </w:rPr>
        <w:t>/</w:t>
      </w:r>
      <w:r>
        <w:rPr>
          <w:rFonts w:hint="eastAsia" w:ascii="方正仿宋_GBK" w:hAnsi="方正仿宋_GBK" w:eastAsia="方正仿宋_GBK" w:cs="方正仿宋_GBK"/>
          <w:b/>
          <w:bCs/>
          <w:color w:val="auto"/>
          <w:sz w:val="32"/>
          <w:szCs w:val="32"/>
          <w:lang w:eastAsia="zh-CN"/>
        </w:rPr>
        <w:t>规划实施的保障措施</w:t>
      </w:r>
    </w:p>
    <w:p w14:paraId="761B458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将消防规划纳入县政府任期目标责任，由县人民政府统一领导，组织</w:t>
      </w:r>
      <w:r>
        <w:rPr>
          <w:rFonts w:hint="eastAsia" w:ascii="方正仿宋_GBK" w:hAnsi="方正仿宋_GBK" w:eastAsia="方正仿宋_GBK" w:cs="方正仿宋_GBK"/>
          <w:color w:val="auto"/>
          <w:sz w:val="32"/>
          <w:szCs w:val="32"/>
          <w:lang w:eastAsia="zh-CN"/>
        </w:rPr>
        <w:t>发改</w:t>
      </w:r>
      <w:r>
        <w:rPr>
          <w:rFonts w:hint="eastAsia" w:ascii="方正仿宋_GBK" w:hAnsi="方正仿宋_GBK" w:eastAsia="方正仿宋_GBK" w:cs="方正仿宋_GBK"/>
          <w:color w:val="auto"/>
          <w:sz w:val="32"/>
          <w:szCs w:val="32"/>
        </w:rPr>
        <w:t>、建设、财政、规划、电信、</w:t>
      </w:r>
      <w:r>
        <w:rPr>
          <w:rFonts w:hint="eastAsia" w:ascii="方正仿宋_GBK" w:hAnsi="方正仿宋_GBK" w:eastAsia="方正仿宋_GBK" w:cs="方正仿宋_GBK"/>
          <w:color w:val="auto"/>
          <w:sz w:val="32"/>
          <w:szCs w:val="32"/>
          <w:lang w:eastAsia="zh-CN"/>
        </w:rPr>
        <w:t>交通、</w:t>
      </w:r>
      <w:r>
        <w:rPr>
          <w:rFonts w:hint="eastAsia" w:ascii="方正仿宋_GBK" w:hAnsi="方正仿宋_GBK" w:eastAsia="方正仿宋_GBK" w:cs="方正仿宋_GBK"/>
          <w:color w:val="auto"/>
          <w:sz w:val="32"/>
          <w:szCs w:val="32"/>
        </w:rPr>
        <w:t>供水及消防救援机构等部门协同实施；</w:t>
      </w:r>
    </w:p>
    <w:p w14:paraId="120752D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建立健全消防工作联席会议制度，定期研究解决消防规划实施中的重大问题，协调推进消防设施建设。</w:t>
      </w:r>
    </w:p>
    <w:p w14:paraId="54A395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二、强化法制保障</w:t>
      </w:r>
    </w:p>
    <w:p w14:paraId="6AD904E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加强消防法制建设，制定霍城县消防管理实施细则，把城市消防工作纳入法制建设轨道；</w:t>
      </w:r>
    </w:p>
    <w:p w14:paraId="324AB80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严格执行消防法规和技术标准，加强建筑设计防火审核、竣工验收工作，依法查处违反消防法规的行为和火灾事故；</w:t>
      </w:r>
    </w:p>
    <w:p w14:paraId="43D3805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对违反本规划自行建设的单位和个人，由</w:t>
      </w:r>
      <w:r>
        <w:rPr>
          <w:rFonts w:hint="eastAsia" w:ascii="方正仿宋_GBK" w:hAnsi="方正仿宋_GBK" w:eastAsia="方正仿宋_GBK" w:cs="方正仿宋_GBK"/>
          <w:color w:val="auto"/>
          <w:sz w:val="32"/>
          <w:szCs w:val="32"/>
          <w:lang w:eastAsia="zh-CN"/>
        </w:rPr>
        <w:t>霍城县住房和城乡建设局、</w:t>
      </w:r>
      <w:r>
        <w:rPr>
          <w:rFonts w:hint="eastAsia" w:ascii="方正仿宋_GBK" w:hAnsi="方正仿宋_GBK" w:eastAsia="方正仿宋_GBK" w:cs="方正仿宋_GBK"/>
          <w:color w:val="auto"/>
          <w:sz w:val="32"/>
          <w:szCs w:val="32"/>
        </w:rPr>
        <w:t>霍城县消防救援大队按照《中华人民共和国消防法》有关规定进行处罚。</w:t>
      </w:r>
    </w:p>
    <w:p w14:paraId="06AAD0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三、保障资金投入</w:t>
      </w:r>
    </w:p>
    <w:p w14:paraId="385BFA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将消防经费列入本级财政预算，确保消防正常业务经费年增幅不低于15%；设立大型装备专项购置资金，保障消防设施和装备的建设、更新和维护；</w:t>
      </w:r>
    </w:p>
    <w:p w14:paraId="6D1019D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开辟多渠道消防经费来源，鼓励企业、团体、个人参与消防建设；</w:t>
      </w:r>
    </w:p>
    <w:p w14:paraId="5209BFE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消防设施用地以划拨为主，对相关费用实行减免；探索通过消防公益基金、保险资金等补充消防建设资金。</w:t>
      </w:r>
    </w:p>
    <w:p w14:paraId="533C4D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四、健全协同机制</w:t>
      </w:r>
    </w:p>
    <w:p w14:paraId="4BD2E8C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加强消防救援机构与供水、供电、通信、燃气、城建等部门的协调配合，确保消防设施与城市基础设施同步规划、同步设计、同步建设、同步验收；</w:t>
      </w:r>
    </w:p>
    <w:p w14:paraId="049EE2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完善兵地融合发展体制机制，统筹推进与兵团第四师 63团、64团、66团的消防协同发展，共建区域消防救援体系；</w:t>
      </w:r>
    </w:p>
    <w:p w14:paraId="197ECB6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加强与伊宁市、霍尔果斯市、察县、伊宁县等周边县市的消防协同，建立跨区域火灾联防联控机制和应急救援联动机制。</w:t>
      </w:r>
    </w:p>
    <w:p w14:paraId="783A63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五、强化宣传教育</w:t>
      </w:r>
    </w:p>
    <w:p w14:paraId="7CA4FB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将消防宣传教育纳入国民教育体系和全民普法计划，利用报纸、电视、网络等多种媒介广泛宣传消防法律法规和消防知识；</w:t>
      </w:r>
    </w:p>
    <w:p w14:paraId="461E88C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定期开展消防安全环境大检查和消防演练，提高公众消防安全意识和自防自救能力；</w:t>
      </w:r>
    </w:p>
    <w:p w14:paraId="3CB26BD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加强对企业员工、消防安全管理人员、特种作业人员的消防培训，确保重点岗位人员具备相应的消防安全技能。</w:t>
      </w:r>
    </w:p>
    <w:p w14:paraId="4904D7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六、科技赋能消防</w:t>
      </w:r>
    </w:p>
    <w:p w14:paraId="515F82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推动消防科技研发和应用，推广先进适用的消防技术、装备和产品，提升消防技术装备现代化水平；</w:t>
      </w:r>
    </w:p>
    <w:p w14:paraId="6A33E76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建设智慧消防平台，整合消防大数据资源，实现火灾自动报警、视频监控、设施运行、车辆调度等智能化管理；</w:t>
      </w:r>
    </w:p>
    <w:p w14:paraId="56EC46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加强消防信息化建设，建立国土空间规划 “一张图” 消防专题图层，实现消防规划与国土空间规划的动态衔接和协同管理。</w:t>
      </w:r>
    </w:p>
    <w:p w14:paraId="26B005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七、严格监督检查</w:t>
      </w:r>
    </w:p>
    <w:p w14:paraId="1AB37B8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建立规划实施动态监测机制，每5年对消防规划实施情况进行评估，根据评估结果及时调整实施策略；</w:t>
      </w:r>
    </w:p>
    <w:p w14:paraId="1D5506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健全国土空间规划监督检查制度，加强对消防设施建设、消防通道管理、消防安全布局等情况的监督检查；</w:t>
      </w:r>
    </w:p>
    <w:p w14:paraId="075B035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自觉接受人大、政协、社会公众和舆论的监督，公开消防规划实施情况，广泛听取公众意见和建议。</w:t>
      </w:r>
    </w:p>
    <w:p w14:paraId="118CD5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lang w:eastAsia="zh-CN"/>
        </w:rPr>
        <w:t>八、评估机制</w:t>
      </w:r>
    </w:p>
    <w:p w14:paraId="6EA3F4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1.评估主体与周期</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建立“年度监测、中期评估、五年全面评估”的三级评估体系。由县人民政府组织住房和城乡建设、消防救援、发展改革、财政等部门及专家，定期对规划实施情况进行评估；每年开展年度监测分析，分别于2031年（规划实施满五年）和2036年（规划期末）组织开展中期评估和总结评估。</w:t>
      </w:r>
    </w:p>
    <w:p w14:paraId="268321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2.评估内容</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重点评估消防站、消火栓、消防水鹤、消防水池等设施的建成率与完好率，消防装备配备达标情况，消防安全布局落实情况，以及火灾起数、损失等消防安全核心指标变化趋势。同时，结合霍城县国土空间总体规划修编、城市建成区扩展、产业园区发展等实际情况，动态评估规划执行效能。</w:t>
      </w:r>
    </w:p>
    <w:p w14:paraId="1C38FB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3.评估结果应用与规划调整</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根据评估结果及时改进工作措施，将规划工作完成情况纳入各相关部门年度消防工作考核重要依据。经评估确需对规划进行调整修改的，应向原审批机关报告，按原批准程序报批。</w:t>
      </w:r>
    </w:p>
    <w:p w14:paraId="131C67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方正仿宋_GBK" w:hAnsi="方正仿宋_GBK" w:eastAsia="方正仿宋_GBK" w:cs="方正仿宋_GBK"/>
          <w:color w:val="auto"/>
          <w:sz w:val="32"/>
          <w:szCs w:val="32"/>
        </w:rPr>
      </w:pPr>
    </w:p>
    <w:p w14:paraId="21B64D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第十二章 附则</w:t>
      </w:r>
    </w:p>
    <w:p w14:paraId="0F31619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本规划自批准之日起生效，由霍城县人民政府负责组织实施；</w:t>
      </w:r>
    </w:p>
    <w:p w14:paraId="78676E6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本规划如需调整、修改，必须依据《中华人民共和国城乡规划法》《中华人民共和国消防法》及《霍城县国土空间总体规划（2021—2035 年）》等相关规定进行；</w:t>
      </w:r>
    </w:p>
    <w:p w14:paraId="77BDEAC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本规划各项内容的具体运用问题，由霍城县住房和城乡建设局负责解释；涉及消防法规、规范和技术标准的，由霍城县消防救援大队负责解释。</w:t>
      </w:r>
    </w:p>
    <w:p w14:paraId="58F684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rPr>
      </w:pPr>
    </w:p>
    <w:sectPr>
      <w:footerReference r:id="rId3" w:type="default"/>
      <w:pgSz w:w="11906" w:h="16838"/>
      <w:pgMar w:top="1440" w:right="186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思源宋体">
    <w:panose1 w:val="02020400000000000000"/>
    <w:charset w:val="86"/>
    <w:family w:val="auto"/>
    <w:pitch w:val="default"/>
    <w:sig w:usb0="30000083" w:usb1="2BDF3C10" w:usb2="00000016" w:usb3="00000000" w:csb0="602E0107" w:csb1="00000000"/>
  </w:font>
  <w:font w:name="文泉驿微米黑">
    <w:panose1 w:val="020B0606030804020204"/>
    <w:charset w:val="86"/>
    <w:family w:val="auto"/>
    <w:pitch w:val="default"/>
    <w:sig w:usb0="E10002EF" w:usb1="6BDFFCFB" w:usb2="00800036" w:usb3="00000000" w:csb0="603E019F" w:csb1="DFD7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B0394">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AFFE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2AFFE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14EC15"/>
    <w:multiLevelType w:val="multilevel"/>
    <w:tmpl w:val="EE14EC15"/>
    <w:lvl w:ilvl="0" w:tentative="0">
      <w:start w:val="1"/>
      <w:numFmt w:val="decimal"/>
      <w:lvlText w:val="%1."/>
      <w:lvlJc w:val="left"/>
      <w:pPr>
        <w:tabs>
          <w:tab w:val="left" w:pos="720"/>
        </w:tabs>
        <w:ind w:left="720" w:hanging="360"/>
      </w:pPr>
      <w:rPr>
        <w:rFonts w:hint="default"/>
        <w:color w:val="auto"/>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FFD8E2E"/>
    <w:multiLevelType w:val="singleLevel"/>
    <w:tmpl w:val="FFFD8E2E"/>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2ZWE0OGZmMWFiOTI3MGYzZWJhYTM0ZjQ0ZmJiYTUifQ=="/>
  </w:docVars>
  <w:rsids>
    <w:rsidRoot w:val="00000000"/>
    <w:rsid w:val="0BFD666D"/>
    <w:rsid w:val="13D50475"/>
    <w:rsid w:val="17178F52"/>
    <w:rsid w:val="1BD879F8"/>
    <w:rsid w:val="1C4D771A"/>
    <w:rsid w:val="1CF27604"/>
    <w:rsid w:val="1DF51BC1"/>
    <w:rsid w:val="1DFF4994"/>
    <w:rsid w:val="1DFFBFFB"/>
    <w:rsid w:val="1F5FD7A9"/>
    <w:rsid w:val="1FDB398B"/>
    <w:rsid w:val="1FDE8983"/>
    <w:rsid w:val="27AB72B2"/>
    <w:rsid w:val="29DFDB33"/>
    <w:rsid w:val="2D357946"/>
    <w:rsid w:val="2FFC8FD9"/>
    <w:rsid w:val="33F74550"/>
    <w:rsid w:val="33FA0EF9"/>
    <w:rsid w:val="36E300F9"/>
    <w:rsid w:val="3B9FD6B3"/>
    <w:rsid w:val="3BFD7353"/>
    <w:rsid w:val="3CEED147"/>
    <w:rsid w:val="3DDB0BA9"/>
    <w:rsid w:val="3DDFA6FD"/>
    <w:rsid w:val="3EFF7DF6"/>
    <w:rsid w:val="3F4D4779"/>
    <w:rsid w:val="3F7E7E98"/>
    <w:rsid w:val="3F7F7A2F"/>
    <w:rsid w:val="3FAF7D87"/>
    <w:rsid w:val="3FB6B1FF"/>
    <w:rsid w:val="3FBF1D05"/>
    <w:rsid w:val="3FDFD10B"/>
    <w:rsid w:val="3FFFE8A8"/>
    <w:rsid w:val="41CF57EF"/>
    <w:rsid w:val="42BEAB7A"/>
    <w:rsid w:val="43F6AF1B"/>
    <w:rsid w:val="45BFA086"/>
    <w:rsid w:val="474E7527"/>
    <w:rsid w:val="47FF2D87"/>
    <w:rsid w:val="4BDD5F33"/>
    <w:rsid w:val="4EF6350C"/>
    <w:rsid w:val="4EFE5CE9"/>
    <w:rsid w:val="4F5F4A62"/>
    <w:rsid w:val="4F7F5461"/>
    <w:rsid w:val="4FF7A915"/>
    <w:rsid w:val="52A3231D"/>
    <w:rsid w:val="535CC572"/>
    <w:rsid w:val="53FB5AD3"/>
    <w:rsid w:val="557F87F6"/>
    <w:rsid w:val="56FF9E3D"/>
    <w:rsid w:val="576ABE0C"/>
    <w:rsid w:val="587E2368"/>
    <w:rsid w:val="5B6F48E2"/>
    <w:rsid w:val="5B773692"/>
    <w:rsid w:val="5BDD8FCA"/>
    <w:rsid w:val="5BEF512E"/>
    <w:rsid w:val="5C6DB90E"/>
    <w:rsid w:val="5D33154B"/>
    <w:rsid w:val="5DD027A3"/>
    <w:rsid w:val="5DEFF227"/>
    <w:rsid w:val="5DFD91F0"/>
    <w:rsid w:val="5E3576DA"/>
    <w:rsid w:val="5E4FA952"/>
    <w:rsid w:val="5EFD0FB0"/>
    <w:rsid w:val="5FB58168"/>
    <w:rsid w:val="5FEDAC32"/>
    <w:rsid w:val="5FF73A2C"/>
    <w:rsid w:val="5FFF3FD9"/>
    <w:rsid w:val="5FFF450F"/>
    <w:rsid w:val="65EDA2D8"/>
    <w:rsid w:val="6ABF6959"/>
    <w:rsid w:val="6BEBE1BD"/>
    <w:rsid w:val="6C5FCA59"/>
    <w:rsid w:val="6C773451"/>
    <w:rsid w:val="6CEEE3B2"/>
    <w:rsid w:val="6CF52CC6"/>
    <w:rsid w:val="6CFCA278"/>
    <w:rsid w:val="6F3FC998"/>
    <w:rsid w:val="6F6F74CD"/>
    <w:rsid w:val="6F7F11DF"/>
    <w:rsid w:val="6FBE9EEC"/>
    <w:rsid w:val="6FBF5D88"/>
    <w:rsid w:val="6FDB2053"/>
    <w:rsid w:val="6FF99905"/>
    <w:rsid w:val="6FFDEC97"/>
    <w:rsid w:val="6FFF0BC7"/>
    <w:rsid w:val="6FFFF6C5"/>
    <w:rsid w:val="70CF30EA"/>
    <w:rsid w:val="716D2B7C"/>
    <w:rsid w:val="71DF4019"/>
    <w:rsid w:val="72DEBF9F"/>
    <w:rsid w:val="72F3F0DD"/>
    <w:rsid w:val="737AF083"/>
    <w:rsid w:val="73CDB1B6"/>
    <w:rsid w:val="73DD0E65"/>
    <w:rsid w:val="73FF21A3"/>
    <w:rsid w:val="75F20E42"/>
    <w:rsid w:val="76AFA35C"/>
    <w:rsid w:val="76AFBD17"/>
    <w:rsid w:val="77DDB262"/>
    <w:rsid w:val="77FF4806"/>
    <w:rsid w:val="7A6B5762"/>
    <w:rsid w:val="7B33AC44"/>
    <w:rsid w:val="7B660DAB"/>
    <w:rsid w:val="7BEDF565"/>
    <w:rsid w:val="7CFA9840"/>
    <w:rsid w:val="7CFF0AB8"/>
    <w:rsid w:val="7D45F1D0"/>
    <w:rsid w:val="7D6FDCFC"/>
    <w:rsid w:val="7D7A0273"/>
    <w:rsid w:val="7DCDB5E5"/>
    <w:rsid w:val="7DF57D1A"/>
    <w:rsid w:val="7DFF0054"/>
    <w:rsid w:val="7DFF8D31"/>
    <w:rsid w:val="7E4BFF38"/>
    <w:rsid w:val="7EAEB0D7"/>
    <w:rsid w:val="7EDED84A"/>
    <w:rsid w:val="7EEDB0D0"/>
    <w:rsid w:val="7EFBDEE7"/>
    <w:rsid w:val="7EFFAA91"/>
    <w:rsid w:val="7F1B837C"/>
    <w:rsid w:val="7F5B67F5"/>
    <w:rsid w:val="7F6F8E96"/>
    <w:rsid w:val="7FB76912"/>
    <w:rsid w:val="7FBBEFE3"/>
    <w:rsid w:val="7FD3F1FD"/>
    <w:rsid w:val="7FDD02B3"/>
    <w:rsid w:val="7FDE9A93"/>
    <w:rsid w:val="7FE9E93B"/>
    <w:rsid w:val="7FF60696"/>
    <w:rsid w:val="7FF7C02C"/>
    <w:rsid w:val="7FFD235F"/>
    <w:rsid w:val="7FFF3029"/>
    <w:rsid w:val="7FFF6387"/>
    <w:rsid w:val="7FFF7255"/>
    <w:rsid w:val="7FFF73BE"/>
    <w:rsid w:val="7FFF8C94"/>
    <w:rsid w:val="7FFF8F6E"/>
    <w:rsid w:val="89BEDEDC"/>
    <w:rsid w:val="8FFAD695"/>
    <w:rsid w:val="97FB34DD"/>
    <w:rsid w:val="9B7FF78A"/>
    <w:rsid w:val="9BBF8F4C"/>
    <w:rsid w:val="9FAF3A8F"/>
    <w:rsid w:val="9FBF6CC2"/>
    <w:rsid w:val="AABF0266"/>
    <w:rsid w:val="ABBFE9A6"/>
    <w:rsid w:val="AF97FFCA"/>
    <w:rsid w:val="AFF3B916"/>
    <w:rsid w:val="B1F5FEEC"/>
    <w:rsid w:val="B715586F"/>
    <w:rsid w:val="B7BB3426"/>
    <w:rsid w:val="B7BF07DE"/>
    <w:rsid w:val="B9FFE121"/>
    <w:rsid w:val="BBABC283"/>
    <w:rsid w:val="BBD10CD4"/>
    <w:rsid w:val="BBED79AF"/>
    <w:rsid w:val="BBFF941A"/>
    <w:rsid w:val="BC7FAB5E"/>
    <w:rsid w:val="BDBA2EFC"/>
    <w:rsid w:val="BDCE038D"/>
    <w:rsid w:val="BDDD68E9"/>
    <w:rsid w:val="BDFD0ECF"/>
    <w:rsid w:val="BEBE1CEF"/>
    <w:rsid w:val="BF3F753D"/>
    <w:rsid w:val="BF6EF904"/>
    <w:rsid w:val="BF7DB9CF"/>
    <w:rsid w:val="BFBF2F47"/>
    <w:rsid w:val="BFBFEC41"/>
    <w:rsid w:val="BFF6B15B"/>
    <w:rsid w:val="C7F514D3"/>
    <w:rsid w:val="C7F7F9B5"/>
    <w:rsid w:val="CD9D1F03"/>
    <w:rsid w:val="CEB998DF"/>
    <w:rsid w:val="CEBD09B1"/>
    <w:rsid w:val="D2EB8F72"/>
    <w:rsid w:val="D3FFD117"/>
    <w:rsid w:val="D4F77734"/>
    <w:rsid w:val="D4FF21F9"/>
    <w:rsid w:val="D76BCA09"/>
    <w:rsid w:val="D7E95843"/>
    <w:rsid w:val="DA74FAA4"/>
    <w:rsid w:val="DB6EB9DD"/>
    <w:rsid w:val="DC7F772A"/>
    <w:rsid w:val="DEB90F08"/>
    <w:rsid w:val="DEF36757"/>
    <w:rsid w:val="DF47EDEE"/>
    <w:rsid w:val="DF5F889C"/>
    <w:rsid w:val="DFAFD767"/>
    <w:rsid w:val="E1EFDBA0"/>
    <w:rsid w:val="E3BB57A0"/>
    <w:rsid w:val="E3EDF2EB"/>
    <w:rsid w:val="E5FD0ABE"/>
    <w:rsid w:val="E79D40C5"/>
    <w:rsid w:val="E8760682"/>
    <w:rsid w:val="E9B942EC"/>
    <w:rsid w:val="EBF30E91"/>
    <w:rsid w:val="ED656073"/>
    <w:rsid w:val="EDA411C1"/>
    <w:rsid w:val="EDBD0E4A"/>
    <w:rsid w:val="EDDFFC0B"/>
    <w:rsid w:val="EE6D5D52"/>
    <w:rsid w:val="EE7A8628"/>
    <w:rsid w:val="EECF4007"/>
    <w:rsid w:val="EEDDEFEC"/>
    <w:rsid w:val="EEE30869"/>
    <w:rsid w:val="EEF508DA"/>
    <w:rsid w:val="EFFB9DF8"/>
    <w:rsid w:val="EFFF2CF5"/>
    <w:rsid w:val="EFFFEB7D"/>
    <w:rsid w:val="F12B00C8"/>
    <w:rsid w:val="F1D53B65"/>
    <w:rsid w:val="F1FB849A"/>
    <w:rsid w:val="F2B45EA8"/>
    <w:rsid w:val="F33BABAB"/>
    <w:rsid w:val="F5AF984C"/>
    <w:rsid w:val="F65E96DA"/>
    <w:rsid w:val="F66F578B"/>
    <w:rsid w:val="F69FD61D"/>
    <w:rsid w:val="F6AE7B7D"/>
    <w:rsid w:val="F6DECA07"/>
    <w:rsid w:val="F77FC947"/>
    <w:rsid w:val="F7E3EE14"/>
    <w:rsid w:val="F8D495BC"/>
    <w:rsid w:val="F99D3A54"/>
    <w:rsid w:val="F9E76DF9"/>
    <w:rsid w:val="FA77658D"/>
    <w:rsid w:val="FAFB4F9D"/>
    <w:rsid w:val="FAFF2F43"/>
    <w:rsid w:val="FB39A2A5"/>
    <w:rsid w:val="FB77B42A"/>
    <w:rsid w:val="FB7F0AC8"/>
    <w:rsid w:val="FBBB9A7F"/>
    <w:rsid w:val="FBDC1EAF"/>
    <w:rsid w:val="FBEB95B5"/>
    <w:rsid w:val="FBEE10CF"/>
    <w:rsid w:val="FC3F93D9"/>
    <w:rsid w:val="FD6DD399"/>
    <w:rsid w:val="FD7F6B6A"/>
    <w:rsid w:val="FDA703B6"/>
    <w:rsid w:val="FDBEA15E"/>
    <w:rsid w:val="FDD46DF2"/>
    <w:rsid w:val="FDEF9FCE"/>
    <w:rsid w:val="FDFBB80F"/>
    <w:rsid w:val="FE7DC995"/>
    <w:rsid w:val="FE8F5C5D"/>
    <w:rsid w:val="FEBC931A"/>
    <w:rsid w:val="FEBF4CB5"/>
    <w:rsid w:val="FEFF1EBD"/>
    <w:rsid w:val="FEFFECB3"/>
    <w:rsid w:val="FF2433A4"/>
    <w:rsid w:val="FF4664CB"/>
    <w:rsid w:val="FF5D563E"/>
    <w:rsid w:val="FF5FE2F9"/>
    <w:rsid w:val="FF6BC0A7"/>
    <w:rsid w:val="FF7EC2A3"/>
    <w:rsid w:val="FF7F702E"/>
    <w:rsid w:val="FFB2E427"/>
    <w:rsid w:val="FFF1E23E"/>
    <w:rsid w:val="FFF70C11"/>
    <w:rsid w:val="FFFDCD4F"/>
    <w:rsid w:val="FFFE1B2A"/>
    <w:rsid w:val="FFFF7F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0</Words>
  <Characters>0</Characters>
  <Lines>0</Lines>
  <Paragraphs>0</Paragraphs>
  <TotalTime>83</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2026-02-04T12:23:00Z</dcterms:created>
  <dc:creator>Administrator</dc:creator>
  <cp:lastModifiedBy>king</cp:lastModifiedBy>
  <cp:lastPrinted>2026-09-22T12:41:00Z</cp:lastPrinted>
  <dcterms:modified xsi:type="dcterms:W3CDTF">2026-10-30T16:49:36Z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eyJoZGlkIjoiMGQ3YzdmNTU1YzRlNzljNDgwM2Q2MTdhZGYyYWNjMTMiLCJ1c2VySWQiOiIxMTc2NzU3MzAxIn0=</vt:lpwstr>
  </property>
  <property fmtid="{D5CDD505-2E9C-101B-9397-08002B2CF9AE}" pid="4" name="ICV">
    <vt:lpwstr>2C9499454B43D110205AE46A571B7BA2_43</vt:lpwstr>
  </property>
</Properties>
</file>